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footer1.xml" ContentType="application/vnd.openxmlformats-officedocument.wordprocessingml.footer+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2.xml" ContentType="application/vnd.openxmlformats-officedocument.customXmlProperties+xml"/>
  <Override PartName="/docProps/custom.xml" ContentType="application/vnd.openxmlformats-officedocument.custom-properties+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customXml/itemProps5.xml" ContentType="application/vnd.openxmlformats-officedocument.customXml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C5A283" w14:textId="66EB3EFC" w:rsidR="00054C41" w:rsidRPr="00B24EFE" w:rsidRDefault="00CE3E51" w:rsidP="00054C41">
      <w:pPr>
        <w:jc w:val="center"/>
        <w:rPr>
          <w:rFonts w:ascii="Times New Roman" w:eastAsia="Calibri" w:hAnsi="Times New Roman" w:cs="Times New Roman"/>
          <w:b/>
          <w:sz w:val="24"/>
          <w:szCs w:val="24"/>
        </w:rPr>
      </w:pPr>
      <w:r w:rsidRPr="00B24EFE">
        <w:rPr>
          <w:rFonts w:ascii="Times New Roman" w:eastAsia="Calibri" w:hAnsi="Times New Roman" w:cs="Times New Roman"/>
          <w:b/>
          <w:sz w:val="24"/>
          <w:szCs w:val="24"/>
        </w:rPr>
        <w:t>Analýza vplyvov na podnikateľské prostredie</w:t>
      </w:r>
    </w:p>
    <w:p w14:paraId="7AF84A90" w14:textId="77777777" w:rsidR="00054C41" w:rsidRPr="00B24EFE" w:rsidRDefault="00054C41" w:rsidP="00054C41">
      <w:pPr>
        <w:jc w:val="both"/>
        <w:rPr>
          <w:rFonts w:ascii="Times New Roman" w:eastAsia="Calibri" w:hAnsi="Times New Roman" w:cs="Times New Roman"/>
          <w:b/>
          <w:sz w:val="24"/>
          <w:szCs w:val="24"/>
        </w:rPr>
      </w:pPr>
    </w:p>
    <w:p w14:paraId="0507EE7D" w14:textId="77777777" w:rsidR="00E64E77" w:rsidRPr="00B24EFE" w:rsidRDefault="00054C41" w:rsidP="00054C41">
      <w:pPr>
        <w:jc w:val="both"/>
        <w:rPr>
          <w:rFonts w:ascii="Times New Roman" w:eastAsia="Calibri" w:hAnsi="Times New Roman" w:cs="Times New Roman"/>
          <w:b/>
          <w:sz w:val="24"/>
          <w:szCs w:val="24"/>
        </w:rPr>
      </w:pPr>
      <w:r w:rsidRPr="00B24EFE">
        <w:rPr>
          <w:rFonts w:ascii="Times New Roman" w:eastAsia="Calibri" w:hAnsi="Times New Roman" w:cs="Times New Roman"/>
          <w:b/>
          <w:sz w:val="24"/>
          <w:szCs w:val="24"/>
        </w:rPr>
        <w:t>Názov materiálu:</w:t>
      </w:r>
      <w:r w:rsidR="00E64E77" w:rsidRPr="00B24EFE">
        <w:rPr>
          <w:rFonts w:ascii="Times New Roman" w:eastAsia="Calibri" w:hAnsi="Times New Roman" w:cs="Times New Roman"/>
          <w:b/>
          <w:sz w:val="24"/>
          <w:szCs w:val="24"/>
        </w:rPr>
        <w:t xml:space="preserve"> </w:t>
      </w:r>
    </w:p>
    <w:p w14:paraId="22516163" w14:textId="108DC8ED" w:rsidR="00054C41" w:rsidRPr="00B24EFE" w:rsidRDefault="00596A5A" w:rsidP="00054C41">
      <w:pPr>
        <w:jc w:val="both"/>
        <w:rPr>
          <w:rFonts w:ascii="Times New Roman" w:eastAsia="Calibri" w:hAnsi="Times New Roman" w:cs="Times New Roman"/>
          <w:sz w:val="24"/>
          <w:szCs w:val="24"/>
        </w:rPr>
      </w:pPr>
      <w:r w:rsidRPr="00B24EFE">
        <w:rPr>
          <w:rFonts w:ascii="Times New Roman" w:eastAsia="Calibri" w:hAnsi="Times New Roman" w:cs="Times New Roman"/>
          <w:sz w:val="24"/>
          <w:szCs w:val="24"/>
        </w:rPr>
        <w:t>Návrh z</w:t>
      </w:r>
      <w:r w:rsidR="00E64E77" w:rsidRPr="00B24EFE">
        <w:rPr>
          <w:rFonts w:ascii="Times New Roman" w:eastAsia="Calibri" w:hAnsi="Times New Roman" w:cs="Times New Roman"/>
          <w:sz w:val="24"/>
          <w:szCs w:val="24"/>
        </w:rPr>
        <w:t>ákon</w:t>
      </w:r>
      <w:r w:rsidRPr="00B24EFE">
        <w:rPr>
          <w:rFonts w:ascii="Times New Roman" w:eastAsia="Calibri" w:hAnsi="Times New Roman" w:cs="Times New Roman"/>
          <w:sz w:val="24"/>
          <w:szCs w:val="24"/>
        </w:rPr>
        <w:t>a</w:t>
      </w:r>
      <w:r w:rsidR="00E64E77" w:rsidRPr="00B24EFE">
        <w:rPr>
          <w:rFonts w:ascii="Times New Roman" w:eastAsia="Calibri" w:hAnsi="Times New Roman" w:cs="Times New Roman"/>
          <w:sz w:val="24"/>
          <w:szCs w:val="24"/>
        </w:rPr>
        <w:t xml:space="preserve"> </w:t>
      </w:r>
      <w:r w:rsidR="0003695E">
        <w:rPr>
          <w:rFonts w:ascii="Times New Roman" w:eastAsia="Calibri" w:hAnsi="Times New Roman" w:cs="Times New Roman"/>
          <w:sz w:val="24"/>
          <w:szCs w:val="24"/>
        </w:rPr>
        <w:t>Občiansky zákonník</w:t>
      </w:r>
    </w:p>
    <w:p w14:paraId="45C9E023" w14:textId="77777777" w:rsidR="00E64E77" w:rsidRPr="00B24EFE" w:rsidRDefault="00054C41" w:rsidP="00054C41">
      <w:pPr>
        <w:jc w:val="both"/>
        <w:rPr>
          <w:rFonts w:ascii="Times New Roman" w:eastAsia="Calibri" w:hAnsi="Times New Roman" w:cs="Times New Roman"/>
          <w:b/>
          <w:sz w:val="24"/>
          <w:szCs w:val="24"/>
        </w:rPr>
      </w:pPr>
      <w:r w:rsidRPr="00B24EFE">
        <w:rPr>
          <w:rFonts w:ascii="Times New Roman" w:eastAsia="Calibri" w:hAnsi="Times New Roman" w:cs="Times New Roman"/>
          <w:b/>
          <w:sz w:val="24"/>
          <w:szCs w:val="24"/>
        </w:rPr>
        <w:t>Predkladateľ:</w:t>
      </w:r>
      <w:r w:rsidR="00E64E77" w:rsidRPr="00B24EFE">
        <w:rPr>
          <w:rFonts w:ascii="Times New Roman" w:eastAsia="Calibri" w:hAnsi="Times New Roman" w:cs="Times New Roman"/>
          <w:b/>
          <w:sz w:val="24"/>
          <w:szCs w:val="24"/>
        </w:rPr>
        <w:t xml:space="preserve"> </w:t>
      </w:r>
    </w:p>
    <w:p w14:paraId="73384937" w14:textId="0ECDE227" w:rsidR="00054C41" w:rsidRPr="00B24EFE" w:rsidRDefault="00E64E77" w:rsidP="00054C41">
      <w:pPr>
        <w:jc w:val="both"/>
        <w:rPr>
          <w:rFonts w:ascii="Times New Roman" w:eastAsia="Calibri" w:hAnsi="Times New Roman" w:cs="Times New Roman"/>
          <w:b/>
          <w:sz w:val="24"/>
          <w:szCs w:val="24"/>
        </w:rPr>
      </w:pPr>
      <w:r w:rsidRPr="00B24EFE">
        <w:rPr>
          <w:rFonts w:ascii="Times New Roman" w:eastAsia="Calibri" w:hAnsi="Times New Roman" w:cs="Times New Roman"/>
          <w:sz w:val="24"/>
          <w:szCs w:val="24"/>
        </w:rPr>
        <w:t xml:space="preserve">Ministerstvo spravodlivosti </w:t>
      </w:r>
      <w:r w:rsidR="005C299F" w:rsidRPr="00B24EFE">
        <w:rPr>
          <w:rFonts w:ascii="Times New Roman" w:eastAsia="Calibri" w:hAnsi="Times New Roman" w:cs="Times New Roman"/>
          <w:sz w:val="24"/>
          <w:szCs w:val="24"/>
        </w:rPr>
        <w:t>Slovenskej republiky</w:t>
      </w:r>
    </w:p>
    <w:p w14:paraId="515DBCE3" w14:textId="77777777" w:rsidR="00054C41" w:rsidRPr="00B24EFE" w:rsidRDefault="00054C41" w:rsidP="00054C41">
      <w:pPr>
        <w:jc w:val="both"/>
        <w:rPr>
          <w:rFonts w:ascii="Times New Roman" w:eastAsia="Calibri" w:hAnsi="Times New Roman" w:cs="Times New Roman"/>
          <w:b/>
          <w:sz w:val="24"/>
          <w:szCs w:val="24"/>
        </w:rPr>
      </w:pPr>
      <w:r w:rsidRPr="00B24EFE">
        <w:rPr>
          <w:rFonts w:ascii="Times New Roman" w:eastAsia="Calibri" w:hAnsi="Times New Roman" w:cs="Times New Roman"/>
          <w:b/>
          <w:sz w:val="24"/>
          <w:szCs w:val="24"/>
        </w:rPr>
        <w:t>3.1 Náklady regulácie</w:t>
      </w:r>
    </w:p>
    <w:p w14:paraId="14243EB0" w14:textId="77777777" w:rsidR="00054C41" w:rsidRPr="00B24EFE" w:rsidRDefault="00054C41" w:rsidP="00C21399">
      <w:pPr>
        <w:tabs>
          <w:tab w:val="left" w:pos="8025"/>
        </w:tabs>
        <w:rPr>
          <w:rFonts w:ascii="Times New Roman" w:eastAsia="Calibri" w:hAnsi="Times New Roman" w:cs="Times New Roman"/>
          <w:bCs/>
          <w:i/>
          <w:iCs/>
          <w:sz w:val="24"/>
          <w:szCs w:val="24"/>
        </w:rPr>
      </w:pPr>
      <w:r w:rsidRPr="00B24EFE">
        <w:rPr>
          <w:rFonts w:ascii="Times New Roman" w:eastAsia="Calibri" w:hAnsi="Times New Roman" w:cs="Times New Roman"/>
          <w:b/>
          <w:i/>
          <w:iCs/>
          <w:sz w:val="24"/>
          <w:szCs w:val="24"/>
        </w:rPr>
        <w:t xml:space="preserve">3.1.1 Súhrnná tabuľka nákladov regulácie </w:t>
      </w:r>
      <w:r w:rsidR="00C21399" w:rsidRPr="00B24EFE">
        <w:rPr>
          <w:rFonts w:ascii="Times New Roman" w:eastAsia="Calibri" w:hAnsi="Times New Roman" w:cs="Times New Roman"/>
          <w:b/>
          <w:i/>
          <w:iCs/>
          <w:sz w:val="24"/>
          <w:szCs w:val="24"/>
        </w:rPr>
        <w:tab/>
      </w:r>
    </w:p>
    <w:p w14:paraId="4D85A0D5" w14:textId="77777777" w:rsidR="00054C41" w:rsidRPr="00B24EFE" w:rsidRDefault="00054C41" w:rsidP="00054C41">
      <w:pPr>
        <w:jc w:val="both"/>
        <w:rPr>
          <w:rFonts w:ascii="Times New Roman" w:eastAsia="Calibri" w:hAnsi="Times New Roman" w:cs="Times New Roman"/>
          <w:i/>
          <w:sz w:val="24"/>
          <w:szCs w:val="24"/>
        </w:rPr>
      </w:pPr>
      <w:r w:rsidRPr="00B24EFE">
        <w:rPr>
          <w:rFonts w:ascii="Times New Roman" w:eastAsia="Calibri" w:hAnsi="Times New Roman" w:cs="Times New Roman"/>
          <w:i/>
          <w:sz w:val="24"/>
          <w:szCs w:val="24"/>
        </w:rPr>
        <w:t>Tabuľka č. 1: Zmeny nákladov (ročne) v prepočte na podnikateľské prostredie (PP), vyhodnotenie mechanizmu znižovania byrokracie a náklado</w:t>
      </w:r>
      <w:r w:rsidR="000A6B7F" w:rsidRPr="00B24EFE">
        <w:rPr>
          <w:rFonts w:ascii="Times New Roman" w:eastAsia="Calibri" w:hAnsi="Times New Roman" w:cs="Times New Roman"/>
          <w:i/>
          <w:sz w:val="24"/>
          <w:szCs w:val="24"/>
        </w:rPr>
        <w:t>v</w:t>
      </w:r>
      <w:r w:rsidR="00C929AE" w:rsidRPr="00B24EFE">
        <w:rPr>
          <w:rFonts w:ascii="Times New Roman" w:eastAsia="Calibri" w:hAnsi="Times New Roman" w:cs="Times New Roman"/>
          <w:i/>
          <w:sz w:val="24"/>
          <w:szCs w:val="24"/>
        </w:rPr>
        <w:t>, náklady goldplatingu</w:t>
      </w:r>
      <w:r w:rsidR="00C929AE" w:rsidRPr="00B24EFE">
        <w:rPr>
          <w:rStyle w:val="Odkaznapoznmkupodiarou"/>
          <w:rFonts w:ascii="Times New Roman" w:eastAsia="Calibri" w:hAnsi="Times New Roman" w:cs="Times New Roman"/>
          <w:i/>
          <w:sz w:val="24"/>
          <w:szCs w:val="24"/>
        </w:rPr>
        <w:footnoteReference w:id="1"/>
      </w:r>
      <w:r w:rsidR="000A6B7F" w:rsidRPr="00B24EFE">
        <w:rPr>
          <w:rFonts w:ascii="Times New Roman" w:eastAsia="Calibri" w:hAnsi="Times New Roman" w:cs="Times New Roman"/>
          <w:i/>
          <w:sz w:val="24"/>
          <w:szCs w:val="24"/>
        </w:rPr>
        <w:t xml:space="preserve"> </w:t>
      </w:r>
      <w:r w:rsidR="00C929AE" w:rsidRPr="00B24EFE">
        <w:rPr>
          <w:rFonts w:ascii="Times New Roman" w:eastAsia="Calibri" w:hAnsi="Times New Roman" w:cs="Times New Roman"/>
          <w:i/>
          <w:sz w:val="24"/>
          <w:szCs w:val="24"/>
        </w:rPr>
        <w:t>na podnikateľské prostredie</w:t>
      </w:r>
      <w:r w:rsidRPr="00B24EFE">
        <w:rPr>
          <w:rFonts w:ascii="Times New Roman" w:eastAsia="Calibri" w:hAnsi="Times New Roman" w:cs="Times New Roman"/>
          <w:i/>
          <w:sz w:val="24"/>
          <w:szCs w:val="24"/>
        </w:rPr>
        <w:t xml:space="preserve">. </w:t>
      </w:r>
    </w:p>
    <w:p w14:paraId="1A77DC61" w14:textId="77777777" w:rsidR="00054C41" w:rsidRPr="00965670" w:rsidRDefault="00054C41" w:rsidP="00054C41">
      <w:pPr>
        <w:jc w:val="both"/>
        <w:rPr>
          <w:rFonts w:ascii="Times New Roman" w:eastAsia="Calibri" w:hAnsi="Times New Roman" w:cs="Times New Roman"/>
          <w:i/>
          <w:sz w:val="24"/>
          <w:szCs w:val="24"/>
        </w:rPr>
      </w:pPr>
      <w:r w:rsidRPr="00B24EFE">
        <w:rPr>
          <w:rFonts w:ascii="Times New Roman" w:eastAsia="Calibri" w:hAnsi="Times New Roman" w:cs="Times New Roman"/>
          <w:i/>
          <w:sz w:val="24"/>
          <w:szCs w:val="24"/>
        </w:rPr>
        <w:t xml:space="preserve">Nahraďte rovnakou tabuľkou po vyplnení Kalkulačky nákladov podnikateľského prostredia, ktorá je povinnou prílohou tejto analýzy a nájdete ju na </w:t>
      </w:r>
      <w:hyperlink r:id="rId9" w:history="1">
        <w:r w:rsidRPr="00B24EFE">
          <w:rPr>
            <w:rFonts w:ascii="Times New Roman" w:eastAsia="Calibri" w:hAnsi="Times New Roman" w:cs="Times New Roman"/>
            <w:i/>
            <w:color w:val="0563C1"/>
            <w:sz w:val="24"/>
            <w:szCs w:val="24"/>
            <w:u w:val="single"/>
          </w:rPr>
          <w:t>webovom sídle MH SR</w:t>
        </w:r>
      </w:hyperlink>
      <w:r w:rsidRPr="00B24EFE">
        <w:rPr>
          <w:rFonts w:ascii="Times New Roman" w:eastAsia="Calibri" w:hAnsi="Times New Roman" w:cs="Times New Roman"/>
          <w:i/>
          <w:sz w:val="24"/>
          <w:szCs w:val="24"/>
        </w:rPr>
        <w:t>, (ďalej len „</w:t>
      </w:r>
      <w:r w:rsidRPr="00965670">
        <w:rPr>
          <w:rFonts w:ascii="Times New Roman" w:eastAsia="Calibri" w:hAnsi="Times New Roman" w:cs="Times New Roman"/>
          <w:i/>
          <w:sz w:val="24"/>
          <w:szCs w:val="24"/>
        </w:rPr>
        <w:t>Kalkulačka nákladov“):</w:t>
      </w:r>
    </w:p>
    <w:p w14:paraId="657764B7" w14:textId="02A61107" w:rsidR="007B0C81" w:rsidRPr="00965670" w:rsidRDefault="007B0C81" w:rsidP="00054C41">
      <w:pPr>
        <w:rPr>
          <w:rFonts w:ascii="Times New Roman" w:eastAsia="Calibri" w:hAnsi="Times New Roman" w:cs="Times New Roman"/>
          <w:b/>
          <w:sz w:val="24"/>
          <w:szCs w:val="24"/>
        </w:rPr>
      </w:pPr>
    </w:p>
    <w:tbl>
      <w:tblPr>
        <w:tblW w:w="8300" w:type="dxa"/>
        <w:tblCellMar>
          <w:left w:w="70" w:type="dxa"/>
          <w:right w:w="70" w:type="dxa"/>
        </w:tblCellMar>
        <w:tblLook w:val="04A0" w:firstRow="1" w:lastRow="0" w:firstColumn="1" w:lastColumn="0" w:noHBand="0" w:noVBand="1"/>
      </w:tblPr>
      <w:tblGrid>
        <w:gridCol w:w="4540"/>
        <w:gridCol w:w="1880"/>
        <w:gridCol w:w="1880"/>
      </w:tblGrid>
      <w:tr w:rsidR="00B01E8A" w:rsidRPr="00965670" w14:paraId="03EE2D16" w14:textId="77777777" w:rsidTr="008342BB">
        <w:trPr>
          <w:trHeight w:val="675"/>
        </w:trPr>
        <w:tc>
          <w:tcPr>
            <w:tcW w:w="4540" w:type="dxa"/>
            <w:tcBorders>
              <w:top w:val="single" w:sz="8" w:space="0" w:color="auto"/>
              <w:left w:val="single" w:sz="8" w:space="0" w:color="auto"/>
              <w:bottom w:val="single" w:sz="8" w:space="0" w:color="auto"/>
              <w:right w:val="single" w:sz="4" w:space="0" w:color="auto"/>
            </w:tcBorders>
            <w:shd w:val="clear" w:color="auto" w:fill="auto"/>
            <w:vAlign w:val="center"/>
            <w:hideMark/>
          </w:tcPr>
          <w:p w14:paraId="4BEBD457" w14:textId="392BC305" w:rsidR="00B01E8A" w:rsidRPr="00B01E8A" w:rsidRDefault="00B01E8A" w:rsidP="00B01E8A">
            <w:pPr>
              <w:spacing w:after="0" w:line="240" w:lineRule="auto"/>
              <w:jc w:val="center"/>
              <w:rPr>
                <w:rFonts w:ascii="Times New Roman" w:eastAsia="Times New Roman" w:hAnsi="Times New Roman" w:cs="Times New Roman"/>
                <w:b/>
                <w:bCs/>
                <w:i/>
                <w:iCs/>
                <w:color w:val="000000"/>
                <w:sz w:val="20"/>
                <w:szCs w:val="20"/>
                <w:lang w:eastAsia="sk-SK"/>
              </w:rPr>
            </w:pPr>
            <w:r w:rsidRPr="00B01E8A">
              <w:rPr>
                <w:rFonts w:ascii="Times New Roman" w:hAnsi="Times New Roman" w:cs="Times New Roman"/>
                <w:b/>
                <w:bCs/>
                <w:i/>
                <w:iCs/>
                <w:color w:val="000000"/>
                <w:sz w:val="20"/>
                <w:szCs w:val="20"/>
              </w:rPr>
              <w:t>TYP NÁKLADOV</w:t>
            </w:r>
          </w:p>
        </w:tc>
        <w:tc>
          <w:tcPr>
            <w:tcW w:w="1880" w:type="dxa"/>
            <w:tcBorders>
              <w:top w:val="single" w:sz="8" w:space="0" w:color="auto"/>
              <w:left w:val="nil"/>
              <w:bottom w:val="single" w:sz="8" w:space="0" w:color="auto"/>
              <w:right w:val="single" w:sz="4" w:space="0" w:color="auto"/>
            </w:tcBorders>
            <w:shd w:val="clear" w:color="000000" w:fill="FFC000"/>
            <w:vAlign w:val="center"/>
            <w:hideMark/>
          </w:tcPr>
          <w:p w14:paraId="313DDF6E" w14:textId="249DFD81" w:rsidR="00B01E8A" w:rsidRPr="00B01E8A" w:rsidRDefault="00B01E8A" w:rsidP="00B01E8A">
            <w:pPr>
              <w:spacing w:after="0" w:line="240" w:lineRule="auto"/>
              <w:jc w:val="center"/>
              <w:rPr>
                <w:rFonts w:ascii="Times New Roman" w:eastAsia="Times New Roman" w:hAnsi="Times New Roman" w:cs="Times New Roman"/>
                <w:b/>
                <w:bCs/>
                <w:color w:val="000000"/>
                <w:sz w:val="20"/>
                <w:szCs w:val="20"/>
                <w:lang w:eastAsia="sk-SK"/>
              </w:rPr>
            </w:pPr>
            <w:r w:rsidRPr="00B01E8A">
              <w:rPr>
                <w:rFonts w:ascii="Times New Roman" w:hAnsi="Times New Roman" w:cs="Times New Roman"/>
                <w:b/>
                <w:bCs/>
                <w:color w:val="000000"/>
                <w:sz w:val="20"/>
                <w:szCs w:val="20"/>
              </w:rPr>
              <w:t>Zvýšenie nákladov v € na PP</w:t>
            </w:r>
          </w:p>
        </w:tc>
        <w:tc>
          <w:tcPr>
            <w:tcW w:w="1880" w:type="dxa"/>
            <w:tcBorders>
              <w:top w:val="single" w:sz="8" w:space="0" w:color="auto"/>
              <w:left w:val="nil"/>
              <w:bottom w:val="single" w:sz="8" w:space="0" w:color="auto"/>
              <w:right w:val="single" w:sz="8" w:space="0" w:color="auto"/>
            </w:tcBorders>
            <w:shd w:val="clear" w:color="000000" w:fill="92D050"/>
            <w:vAlign w:val="center"/>
            <w:hideMark/>
          </w:tcPr>
          <w:p w14:paraId="2DB13FED" w14:textId="61C959D9" w:rsidR="00B01E8A" w:rsidRPr="00B01E8A" w:rsidRDefault="00B01E8A" w:rsidP="00B01E8A">
            <w:pPr>
              <w:spacing w:after="0" w:line="240" w:lineRule="auto"/>
              <w:jc w:val="center"/>
              <w:rPr>
                <w:rFonts w:ascii="Times New Roman" w:eastAsia="Times New Roman" w:hAnsi="Times New Roman" w:cs="Times New Roman"/>
                <w:b/>
                <w:bCs/>
                <w:color w:val="000000"/>
                <w:sz w:val="20"/>
                <w:szCs w:val="20"/>
                <w:lang w:eastAsia="sk-SK"/>
              </w:rPr>
            </w:pPr>
            <w:r w:rsidRPr="00B01E8A">
              <w:rPr>
                <w:rFonts w:ascii="Times New Roman" w:hAnsi="Times New Roman" w:cs="Times New Roman"/>
                <w:b/>
                <w:bCs/>
                <w:color w:val="000000"/>
                <w:sz w:val="20"/>
                <w:szCs w:val="20"/>
              </w:rPr>
              <w:t>Zníženie nákladov v € na PP</w:t>
            </w:r>
          </w:p>
        </w:tc>
      </w:tr>
      <w:tr w:rsidR="00B01E8A" w:rsidRPr="00965670" w14:paraId="6B78F1D9" w14:textId="77777777" w:rsidTr="008342BB">
        <w:trPr>
          <w:trHeight w:val="810"/>
        </w:trPr>
        <w:tc>
          <w:tcPr>
            <w:tcW w:w="4540" w:type="dxa"/>
            <w:tcBorders>
              <w:top w:val="nil"/>
              <w:left w:val="single" w:sz="8" w:space="0" w:color="auto"/>
              <w:bottom w:val="single" w:sz="4" w:space="0" w:color="auto"/>
              <w:right w:val="single" w:sz="4" w:space="0" w:color="auto"/>
            </w:tcBorders>
            <w:shd w:val="clear" w:color="auto" w:fill="auto"/>
            <w:vAlign w:val="center"/>
            <w:hideMark/>
          </w:tcPr>
          <w:p w14:paraId="63444B21" w14:textId="0DD16319" w:rsidR="00B01E8A" w:rsidRPr="00B01E8A" w:rsidRDefault="00B01E8A" w:rsidP="00B01E8A">
            <w:pPr>
              <w:spacing w:after="0" w:line="240" w:lineRule="auto"/>
              <w:rPr>
                <w:rFonts w:ascii="Times New Roman" w:eastAsia="Times New Roman" w:hAnsi="Times New Roman" w:cs="Times New Roman"/>
                <w:b/>
                <w:bCs/>
                <w:i/>
                <w:iCs/>
                <w:color w:val="000000"/>
                <w:sz w:val="20"/>
                <w:szCs w:val="20"/>
                <w:lang w:eastAsia="sk-SK"/>
              </w:rPr>
            </w:pPr>
            <w:proofErr w:type="spellStart"/>
            <w:r w:rsidRPr="00B01E8A">
              <w:rPr>
                <w:rFonts w:ascii="Times New Roman" w:hAnsi="Times New Roman" w:cs="Times New Roman"/>
                <w:b/>
                <w:bCs/>
                <w:i/>
                <w:iCs/>
                <w:color w:val="000000"/>
                <w:sz w:val="20"/>
                <w:szCs w:val="20"/>
              </w:rPr>
              <w:t>A.Dane</w:t>
            </w:r>
            <w:proofErr w:type="spellEnd"/>
            <w:r w:rsidRPr="00B01E8A">
              <w:rPr>
                <w:rFonts w:ascii="Times New Roman" w:hAnsi="Times New Roman" w:cs="Times New Roman"/>
                <w:b/>
                <w:bCs/>
                <w:i/>
                <w:iCs/>
                <w:color w:val="000000"/>
                <w:sz w:val="20"/>
                <w:szCs w:val="20"/>
              </w:rPr>
              <w:t xml:space="preserve">, odvody, clá a poplatky, ktorých cieľom je znižovať negatívne </w:t>
            </w:r>
            <w:proofErr w:type="spellStart"/>
            <w:r w:rsidRPr="00B01E8A">
              <w:rPr>
                <w:rFonts w:ascii="Times New Roman" w:hAnsi="Times New Roman" w:cs="Times New Roman"/>
                <w:b/>
                <w:bCs/>
                <w:i/>
                <w:iCs/>
                <w:color w:val="000000"/>
                <w:sz w:val="20"/>
                <w:szCs w:val="20"/>
              </w:rPr>
              <w:t>externality</w:t>
            </w:r>
            <w:proofErr w:type="spellEnd"/>
          </w:p>
        </w:tc>
        <w:tc>
          <w:tcPr>
            <w:tcW w:w="1880" w:type="dxa"/>
            <w:tcBorders>
              <w:top w:val="nil"/>
              <w:left w:val="nil"/>
              <w:bottom w:val="single" w:sz="4" w:space="0" w:color="auto"/>
              <w:right w:val="single" w:sz="4" w:space="0" w:color="auto"/>
            </w:tcBorders>
            <w:shd w:val="clear" w:color="000000" w:fill="FFC000"/>
            <w:vAlign w:val="center"/>
            <w:hideMark/>
          </w:tcPr>
          <w:p w14:paraId="4E031C49" w14:textId="2BAB19F6" w:rsidR="00B01E8A" w:rsidRPr="00B01E8A" w:rsidRDefault="00B01E8A" w:rsidP="00B01E8A">
            <w:pPr>
              <w:spacing w:after="0" w:line="240" w:lineRule="auto"/>
              <w:jc w:val="center"/>
              <w:rPr>
                <w:rFonts w:ascii="Times New Roman" w:eastAsia="Times New Roman" w:hAnsi="Times New Roman" w:cs="Times New Roman"/>
                <w:b/>
                <w:bCs/>
                <w:color w:val="000000"/>
                <w:sz w:val="20"/>
                <w:szCs w:val="20"/>
                <w:lang w:eastAsia="sk-SK"/>
              </w:rPr>
            </w:pPr>
            <w:r w:rsidRPr="00B01E8A">
              <w:rPr>
                <w:rFonts w:ascii="Times New Roman" w:hAnsi="Times New Roman" w:cs="Times New Roman"/>
                <w:b/>
                <w:bCs/>
                <w:color w:val="000000"/>
                <w:sz w:val="20"/>
                <w:szCs w:val="20"/>
              </w:rPr>
              <w:t>0</w:t>
            </w:r>
          </w:p>
        </w:tc>
        <w:tc>
          <w:tcPr>
            <w:tcW w:w="1880" w:type="dxa"/>
            <w:tcBorders>
              <w:top w:val="nil"/>
              <w:left w:val="nil"/>
              <w:bottom w:val="single" w:sz="4" w:space="0" w:color="auto"/>
              <w:right w:val="single" w:sz="8" w:space="0" w:color="auto"/>
            </w:tcBorders>
            <w:shd w:val="clear" w:color="000000" w:fill="92D050"/>
            <w:vAlign w:val="center"/>
            <w:hideMark/>
          </w:tcPr>
          <w:p w14:paraId="6860FA8D" w14:textId="1D7351F0" w:rsidR="00B01E8A" w:rsidRPr="00B01E8A" w:rsidRDefault="00B01E8A" w:rsidP="00B01E8A">
            <w:pPr>
              <w:spacing w:after="0" w:line="240" w:lineRule="auto"/>
              <w:jc w:val="center"/>
              <w:rPr>
                <w:rFonts w:ascii="Times New Roman" w:eastAsia="Times New Roman" w:hAnsi="Times New Roman" w:cs="Times New Roman"/>
                <w:b/>
                <w:bCs/>
                <w:color w:val="000000"/>
                <w:sz w:val="20"/>
                <w:szCs w:val="20"/>
                <w:lang w:eastAsia="sk-SK"/>
              </w:rPr>
            </w:pPr>
            <w:r w:rsidRPr="00B01E8A">
              <w:rPr>
                <w:rFonts w:ascii="Times New Roman" w:hAnsi="Times New Roman" w:cs="Times New Roman"/>
                <w:b/>
                <w:bCs/>
                <w:color w:val="000000"/>
                <w:sz w:val="20"/>
                <w:szCs w:val="20"/>
              </w:rPr>
              <w:t>0</w:t>
            </w:r>
          </w:p>
        </w:tc>
      </w:tr>
      <w:tr w:rsidR="00B01E8A" w:rsidRPr="00965670" w14:paraId="4738A4D4" w14:textId="77777777" w:rsidTr="008342BB">
        <w:trPr>
          <w:trHeight w:val="300"/>
        </w:trPr>
        <w:tc>
          <w:tcPr>
            <w:tcW w:w="4540" w:type="dxa"/>
            <w:tcBorders>
              <w:top w:val="nil"/>
              <w:left w:val="single" w:sz="8" w:space="0" w:color="auto"/>
              <w:bottom w:val="single" w:sz="4" w:space="0" w:color="auto"/>
              <w:right w:val="single" w:sz="4" w:space="0" w:color="auto"/>
            </w:tcBorders>
            <w:shd w:val="clear" w:color="auto" w:fill="auto"/>
            <w:vAlign w:val="center"/>
            <w:hideMark/>
          </w:tcPr>
          <w:p w14:paraId="19E310FD" w14:textId="6AE292D4" w:rsidR="00B01E8A" w:rsidRPr="00B01E8A" w:rsidRDefault="00B01E8A" w:rsidP="00B01E8A">
            <w:pPr>
              <w:spacing w:after="0" w:line="240" w:lineRule="auto"/>
              <w:rPr>
                <w:rFonts w:ascii="Times New Roman" w:eastAsia="Times New Roman" w:hAnsi="Times New Roman" w:cs="Times New Roman"/>
                <w:b/>
                <w:bCs/>
                <w:i/>
                <w:iCs/>
                <w:color w:val="000000"/>
                <w:sz w:val="20"/>
                <w:szCs w:val="20"/>
                <w:lang w:eastAsia="sk-SK"/>
              </w:rPr>
            </w:pPr>
            <w:r w:rsidRPr="00B01E8A">
              <w:rPr>
                <w:rFonts w:ascii="Times New Roman" w:hAnsi="Times New Roman" w:cs="Times New Roman"/>
                <w:b/>
                <w:bCs/>
                <w:i/>
                <w:iCs/>
                <w:color w:val="000000"/>
                <w:sz w:val="20"/>
                <w:szCs w:val="20"/>
              </w:rPr>
              <w:t>B. Iné poplatky</w:t>
            </w:r>
          </w:p>
        </w:tc>
        <w:tc>
          <w:tcPr>
            <w:tcW w:w="1880" w:type="dxa"/>
            <w:tcBorders>
              <w:top w:val="nil"/>
              <w:left w:val="nil"/>
              <w:bottom w:val="single" w:sz="4" w:space="0" w:color="auto"/>
              <w:right w:val="single" w:sz="4" w:space="0" w:color="auto"/>
            </w:tcBorders>
            <w:shd w:val="clear" w:color="000000" w:fill="FFC000"/>
            <w:vAlign w:val="center"/>
            <w:hideMark/>
          </w:tcPr>
          <w:p w14:paraId="370F76D4" w14:textId="3A4362C5" w:rsidR="00B01E8A" w:rsidRPr="00B01E8A" w:rsidRDefault="00B01E8A" w:rsidP="00B01E8A">
            <w:pPr>
              <w:spacing w:after="0" w:line="240" w:lineRule="auto"/>
              <w:jc w:val="center"/>
              <w:rPr>
                <w:rFonts w:ascii="Times New Roman" w:eastAsia="Times New Roman" w:hAnsi="Times New Roman" w:cs="Times New Roman"/>
                <w:b/>
                <w:bCs/>
                <w:color w:val="000000"/>
                <w:sz w:val="20"/>
                <w:szCs w:val="20"/>
                <w:lang w:eastAsia="sk-SK"/>
              </w:rPr>
            </w:pPr>
            <w:r w:rsidRPr="00B01E8A">
              <w:rPr>
                <w:rFonts w:ascii="Times New Roman" w:hAnsi="Times New Roman" w:cs="Times New Roman"/>
                <w:b/>
                <w:bCs/>
                <w:color w:val="000000"/>
                <w:sz w:val="20"/>
                <w:szCs w:val="20"/>
              </w:rPr>
              <w:t>0</w:t>
            </w:r>
          </w:p>
        </w:tc>
        <w:tc>
          <w:tcPr>
            <w:tcW w:w="1880" w:type="dxa"/>
            <w:tcBorders>
              <w:top w:val="nil"/>
              <w:left w:val="nil"/>
              <w:bottom w:val="single" w:sz="4" w:space="0" w:color="auto"/>
              <w:right w:val="single" w:sz="8" w:space="0" w:color="auto"/>
            </w:tcBorders>
            <w:shd w:val="clear" w:color="000000" w:fill="92D050"/>
            <w:vAlign w:val="center"/>
            <w:hideMark/>
          </w:tcPr>
          <w:p w14:paraId="674E7057" w14:textId="6052B726" w:rsidR="00B01E8A" w:rsidRPr="00B01E8A" w:rsidRDefault="00B01E8A" w:rsidP="00B01E8A">
            <w:pPr>
              <w:spacing w:after="0" w:line="240" w:lineRule="auto"/>
              <w:jc w:val="center"/>
              <w:rPr>
                <w:rFonts w:ascii="Times New Roman" w:eastAsia="Times New Roman" w:hAnsi="Times New Roman" w:cs="Times New Roman"/>
                <w:b/>
                <w:bCs/>
                <w:color w:val="000000"/>
                <w:sz w:val="20"/>
                <w:szCs w:val="20"/>
                <w:lang w:eastAsia="sk-SK"/>
              </w:rPr>
            </w:pPr>
            <w:r w:rsidRPr="00B01E8A">
              <w:rPr>
                <w:rFonts w:ascii="Times New Roman" w:hAnsi="Times New Roman" w:cs="Times New Roman"/>
                <w:b/>
                <w:bCs/>
                <w:color w:val="000000"/>
                <w:sz w:val="20"/>
                <w:szCs w:val="20"/>
              </w:rPr>
              <w:t>0</w:t>
            </w:r>
          </w:p>
        </w:tc>
      </w:tr>
      <w:tr w:rsidR="00B01E8A" w:rsidRPr="00965670" w14:paraId="61DABA60" w14:textId="77777777" w:rsidTr="008342BB">
        <w:trPr>
          <w:trHeight w:val="300"/>
        </w:trPr>
        <w:tc>
          <w:tcPr>
            <w:tcW w:w="4540" w:type="dxa"/>
            <w:tcBorders>
              <w:top w:val="nil"/>
              <w:left w:val="single" w:sz="8" w:space="0" w:color="auto"/>
              <w:bottom w:val="single" w:sz="4" w:space="0" w:color="auto"/>
              <w:right w:val="single" w:sz="4" w:space="0" w:color="auto"/>
            </w:tcBorders>
            <w:shd w:val="clear" w:color="auto" w:fill="auto"/>
            <w:vAlign w:val="center"/>
            <w:hideMark/>
          </w:tcPr>
          <w:p w14:paraId="63183015" w14:textId="6FEC32F1" w:rsidR="00B01E8A" w:rsidRPr="00B01E8A" w:rsidRDefault="00B01E8A" w:rsidP="00B01E8A">
            <w:pPr>
              <w:spacing w:after="0" w:line="240" w:lineRule="auto"/>
              <w:rPr>
                <w:rFonts w:ascii="Times New Roman" w:eastAsia="Times New Roman" w:hAnsi="Times New Roman" w:cs="Times New Roman"/>
                <w:b/>
                <w:bCs/>
                <w:i/>
                <w:iCs/>
                <w:color w:val="000000"/>
                <w:sz w:val="20"/>
                <w:szCs w:val="20"/>
                <w:lang w:eastAsia="sk-SK"/>
              </w:rPr>
            </w:pPr>
            <w:r w:rsidRPr="00B01E8A">
              <w:rPr>
                <w:rFonts w:ascii="Times New Roman" w:hAnsi="Times New Roman" w:cs="Times New Roman"/>
                <w:b/>
                <w:bCs/>
                <w:i/>
                <w:iCs/>
                <w:color w:val="000000"/>
                <w:sz w:val="20"/>
                <w:szCs w:val="20"/>
              </w:rPr>
              <w:t>C. Sankcie a pokuty</w:t>
            </w:r>
          </w:p>
        </w:tc>
        <w:tc>
          <w:tcPr>
            <w:tcW w:w="1880" w:type="dxa"/>
            <w:tcBorders>
              <w:top w:val="nil"/>
              <w:left w:val="nil"/>
              <w:bottom w:val="single" w:sz="4" w:space="0" w:color="auto"/>
              <w:right w:val="single" w:sz="4" w:space="0" w:color="auto"/>
            </w:tcBorders>
            <w:shd w:val="clear" w:color="000000" w:fill="FFC000"/>
            <w:vAlign w:val="center"/>
            <w:hideMark/>
          </w:tcPr>
          <w:p w14:paraId="31F97204" w14:textId="54EBF173" w:rsidR="00B01E8A" w:rsidRPr="00B01E8A" w:rsidRDefault="00B01E8A" w:rsidP="00B01E8A">
            <w:pPr>
              <w:spacing w:after="0" w:line="240" w:lineRule="auto"/>
              <w:jc w:val="center"/>
              <w:rPr>
                <w:rFonts w:ascii="Times New Roman" w:eastAsia="Times New Roman" w:hAnsi="Times New Roman" w:cs="Times New Roman"/>
                <w:b/>
                <w:bCs/>
                <w:color w:val="000000"/>
                <w:sz w:val="20"/>
                <w:szCs w:val="20"/>
                <w:lang w:eastAsia="sk-SK"/>
              </w:rPr>
            </w:pPr>
            <w:r w:rsidRPr="00B01E8A">
              <w:rPr>
                <w:rFonts w:ascii="Times New Roman" w:hAnsi="Times New Roman" w:cs="Times New Roman"/>
                <w:b/>
                <w:bCs/>
                <w:color w:val="000000"/>
                <w:sz w:val="20"/>
                <w:szCs w:val="20"/>
              </w:rPr>
              <w:t>0</w:t>
            </w:r>
          </w:p>
        </w:tc>
        <w:tc>
          <w:tcPr>
            <w:tcW w:w="1880" w:type="dxa"/>
            <w:tcBorders>
              <w:top w:val="nil"/>
              <w:left w:val="nil"/>
              <w:bottom w:val="single" w:sz="4" w:space="0" w:color="auto"/>
              <w:right w:val="single" w:sz="8" w:space="0" w:color="auto"/>
            </w:tcBorders>
            <w:shd w:val="clear" w:color="000000" w:fill="92D050"/>
            <w:vAlign w:val="center"/>
            <w:hideMark/>
          </w:tcPr>
          <w:p w14:paraId="4997DBDE" w14:textId="1A6E6CC9" w:rsidR="00B01E8A" w:rsidRPr="00B01E8A" w:rsidRDefault="00B01E8A" w:rsidP="00B01E8A">
            <w:pPr>
              <w:spacing w:after="0" w:line="240" w:lineRule="auto"/>
              <w:jc w:val="center"/>
              <w:rPr>
                <w:rFonts w:ascii="Times New Roman" w:eastAsia="Times New Roman" w:hAnsi="Times New Roman" w:cs="Times New Roman"/>
                <w:b/>
                <w:bCs/>
                <w:color w:val="000000"/>
                <w:sz w:val="20"/>
                <w:szCs w:val="20"/>
                <w:lang w:eastAsia="sk-SK"/>
              </w:rPr>
            </w:pPr>
            <w:r w:rsidRPr="00B01E8A">
              <w:rPr>
                <w:rFonts w:ascii="Times New Roman" w:hAnsi="Times New Roman" w:cs="Times New Roman"/>
                <w:b/>
                <w:bCs/>
                <w:color w:val="000000"/>
                <w:sz w:val="20"/>
                <w:szCs w:val="20"/>
              </w:rPr>
              <w:t>0</w:t>
            </w:r>
          </w:p>
        </w:tc>
      </w:tr>
      <w:tr w:rsidR="00B01E8A" w:rsidRPr="00965670" w14:paraId="19D9F038" w14:textId="77777777" w:rsidTr="008342BB">
        <w:trPr>
          <w:trHeight w:val="300"/>
        </w:trPr>
        <w:tc>
          <w:tcPr>
            <w:tcW w:w="4540" w:type="dxa"/>
            <w:tcBorders>
              <w:top w:val="nil"/>
              <w:left w:val="single" w:sz="8" w:space="0" w:color="auto"/>
              <w:bottom w:val="single" w:sz="4" w:space="0" w:color="auto"/>
              <w:right w:val="single" w:sz="4" w:space="0" w:color="auto"/>
            </w:tcBorders>
            <w:shd w:val="clear" w:color="auto" w:fill="auto"/>
            <w:vAlign w:val="center"/>
            <w:hideMark/>
          </w:tcPr>
          <w:p w14:paraId="1F2CCFD7" w14:textId="33CC7BD2" w:rsidR="00B01E8A" w:rsidRPr="00B01E8A" w:rsidRDefault="00B01E8A" w:rsidP="00B01E8A">
            <w:pPr>
              <w:spacing w:after="0" w:line="240" w:lineRule="auto"/>
              <w:rPr>
                <w:rFonts w:ascii="Times New Roman" w:eastAsia="Times New Roman" w:hAnsi="Times New Roman" w:cs="Times New Roman"/>
                <w:b/>
                <w:bCs/>
                <w:i/>
                <w:iCs/>
                <w:color w:val="000000"/>
                <w:sz w:val="20"/>
                <w:szCs w:val="20"/>
                <w:lang w:eastAsia="sk-SK"/>
              </w:rPr>
            </w:pPr>
            <w:r w:rsidRPr="00B01E8A">
              <w:rPr>
                <w:rFonts w:ascii="Times New Roman" w:hAnsi="Times New Roman" w:cs="Times New Roman"/>
                <w:b/>
                <w:bCs/>
                <w:i/>
                <w:iCs/>
                <w:color w:val="000000"/>
                <w:sz w:val="20"/>
                <w:szCs w:val="20"/>
              </w:rPr>
              <w:t>D. Nepriame finančné náklady</w:t>
            </w:r>
          </w:p>
        </w:tc>
        <w:tc>
          <w:tcPr>
            <w:tcW w:w="1880" w:type="dxa"/>
            <w:tcBorders>
              <w:top w:val="nil"/>
              <w:left w:val="nil"/>
              <w:bottom w:val="single" w:sz="4" w:space="0" w:color="auto"/>
              <w:right w:val="single" w:sz="4" w:space="0" w:color="auto"/>
            </w:tcBorders>
            <w:shd w:val="clear" w:color="000000" w:fill="FFC000"/>
            <w:vAlign w:val="center"/>
            <w:hideMark/>
          </w:tcPr>
          <w:p w14:paraId="152E3237" w14:textId="7493AD97" w:rsidR="00B01E8A" w:rsidRPr="00B01E8A" w:rsidRDefault="00B01E8A" w:rsidP="00B01E8A">
            <w:pPr>
              <w:spacing w:after="0" w:line="240" w:lineRule="auto"/>
              <w:jc w:val="center"/>
              <w:rPr>
                <w:rFonts w:ascii="Times New Roman" w:eastAsia="Times New Roman" w:hAnsi="Times New Roman" w:cs="Times New Roman"/>
                <w:b/>
                <w:bCs/>
                <w:color w:val="000000"/>
                <w:sz w:val="20"/>
                <w:szCs w:val="20"/>
                <w:lang w:eastAsia="sk-SK"/>
              </w:rPr>
            </w:pPr>
            <w:r w:rsidRPr="00B01E8A">
              <w:rPr>
                <w:rFonts w:ascii="Times New Roman" w:hAnsi="Times New Roman" w:cs="Times New Roman"/>
                <w:b/>
                <w:bCs/>
                <w:color w:val="000000"/>
                <w:sz w:val="20"/>
                <w:szCs w:val="20"/>
              </w:rPr>
              <w:t>0</w:t>
            </w:r>
          </w:p>
        </w:tc>
        <w:tc>
          <w:tcPr>
            <w:tcW w:w="1880" w:type="dxa"/>
            <w:tcBorders>
              <w:top w:val="nil"/>
              <w:left w:val="nil"/>
              <w:bottom w:val="single" w:sz="4" w:space="0" w:color="auto"/>
              <w:right w:val="single" w:sz="8" w:space="0" w:color="auto"/>
            </w:tcBorders>
            <w:shd w:val="clear" w:color="000000" w:fill="92D050"/>
            <w:vAlign w:val="center"/>
            <w:hideMark/>
          </w:tcPr>
          <w:p w14:paraId="284929EB" w14:textId="6105B50B" w:rsidR="00B01E8A" w:rsidRPr="00B01E8A" w:rsidRDefault="00B01E8A" w:rsidP="00B01E8A">
            <w:pPr>
              <w:spacing w:after="0" w:line="240" w:lineRule="auto"/>
              <w:jc w:val="center"/>
              <w:rPr>
                <w:rFonts w:ascii="Times New Roman" w:eastAsia="Times New Roman" w:hAnsi="Times New Roman" w:cs="Times New Roman"/>
                <w:b/>
                <w:bCs/>
                <w:color w:val="000000"/>
                <w:sz w:val="20"/>
                <w:szCs w:val="20"/>
                <w:lang w:eastAsia="sk-SK"/>
              </w:rPr>
            </w:pPr>
            <w:r w:rsidRPr="00B01E8A">
              <w:rPr>
                <w:rFonts w:ascii="Times New Roman" w:hAnsi="Times New Roman" w:cs="Times New Roman"/>
                <w:b/>
                <w:bCs/>
                <w:color w:val="000000"/>
                <w:sz w:val="20"/>
                <w:szCs w:val="20"/>
              </w:rPr>
              <w:t>375 000</w:t>
            </w:r>
          </w:p>
        </w:tc>
      </w:tr>
      <w:tr w:rsidR="00B01E8A" w:rsidRPr="00965670" w14:paraId="4CD2BD43" w14:textId="77777777" w:rsidTr="008342BB">
        <w:trPr>
          <w:trHeight w:val="300"/>
        </w:trPr>
        <w:tc>
          <w:tcPr>
            <w:tcW w:w="4540" w:type="dxa"/>
            <w:tcBorders>
              <w:top w:val="nil"/>
              <w:left w:val="single" w:sz="8" w:space="0" w:color="auto"/>
              <w:bottom w:val="nil"/>
              <w:right w:val="single" w:sz="4" w:space="0" w:color="auto"/>
            </w:tcBorders>
            <w:shd w:val="clear" w:color="auto" w:fill="auto"/>
            <w:vAlign w:val="center"/>
            <w:hideMark/>
          </w:tcPr>
          <w:p w14:paraId="58E151A2" w14:textId="055E83CE" w:rsidR="00B01E8A" w:rsidRPr="00B01E8A" w:rsidRDefault="00B01E8A" w:rsidP="00B01E8A">
            <w:pPr>
              <w:spacing w:after="0" w:line="240" w:lineRule="auto"/>
              <w:rPr>
                <w:rFonts w:ascii="Times New Roman" w:eastAsia="Times New Roman" w:hAnsi="Times New Roman" w:cs="Times New Roman"/>
                <w:b/>
                <w:bCs/>
                <w:i/>
                <w:iCs/>
                <w:color w:val="000000"/>
                <w:sz w:val="20"/>
                <w:szCs w:val="20"/>
                <w:lang w:eastAsia="sk-SK"/>
              </w:rPr>
            </w:pPr>
            <w:r w:rsidRPr="00B01E8A">
              <w:rPr>
                <w:rFonts w:ascii="Times New Roman" w:hAnsi="Times New Roman" w:cs="Times New Roman"/>
                <w:b/>
                <w:bCs/>
                <w:i/>
                <w:iCs/>
                <w:color w:val="000000"/>
                <w:sz w:val="20"/>
                <w:szCs w:val="20"/>
              </w:rPr>
              <w:t>E. Administratívne náklady</w:t>
            </w:r>
          </w:p>
        </w:tc>
        <w:tc>
          <w:tcPr>
            <w:tcW w:w="1880" w:type="dxa"/>
            <w:tcBorders>
              <w:top w:val="nil"/>
              <w:left w:val="nil"/>
              <w:bottom w:val="nil"/>
              <w:right w:val="single" w:sz="4" w:space="0" w:color="auto"/>
            </w:tcBorders>
            <w:shd w:val="clear" w:color="000000" w:fill="FFC000"/>
            <w:vAlign w:val="center"/>
            <w:hideMark/>
          </w:tcPr>
          <w:p w14:paraId="5705A405" w14:textId="2E4DBF2C" w:rsidR="00B01E8A" w:rsidRPr="00B01E8A" w:rsidRDefault="00B01E8A" w:rsidP="00B01E8A">
            <w:pPr>
              <w:spacing w:after="0" w:line="240" w:lineRule="auto"/>
              <w:jc w:val="center"/>
              <w:rPr>
                <w:rFonts w:ascii="Times New Roman" w:eastAsia="Times New Roman" w:hAnsi="Times New Roman" w:cs="Times New Roman"/>
                <w:b/>
                <w:bCs/>
                <w:color w:val="000000"/>
                <w:sz w:val="20"/>
                <w:szCs w:val="20"/>
                <w:lang w:eastAsia="sk-SK"/>
              </w:rPr>
            </w:pPr>
            <w:r w:rsidRPr="00B01E8A">
              <w:rPr>
                <w:rFonts w:ascii="Times New Roman" w:hAnsi="Times New Roman" w:cs="Times New Roman"/>
                <w:b/>
                <w:bCs/>
                <w:color w:val="000000"/>
                <w:sz w:val="20"/>
                <w:szCs w:val="20"/>
              </w:rPr>
              <w:t>8 513 531</w:t>
            </w:r>
          </w:p>
        </w:tc>
        <w:tc>
          <w:tcPr>
            <w:tcW w:w="1880" w:type="dxa"/>
            <w:tcBorders>
              <w:top w:val="nil"/>
              <w:left w:val="nil"/>
              <w:bottom w:val="nil"/>
              <w:right w:val="single" w:sz="8" w:space="0" w:color="auto"/>
            </w:tcBorders>
            <w:shd w:val="clear" w:color="000000" w:fill="92D050"/>
            <w:vAlign w:val="center"/>
            <w:hideMark/>
          </w:tcPr>
          <w:p w14:paraId="0E722A70" w14:textId="15895A68" w:rsidR="00B01E8A" w:rsidRPr="00B01E8A" w:rsidRDefault="00B01E8A" w:rsidP="00B01E8A">
            <w:pPr>
              <w:spacing w:after="0" w:line="240" w:lineRule="auto"/>
              <w:jc w:val="center"/>
              <w:rPr>
                <w:rFonts w:ascii="Times New Roman" w:eastAsia="Times New Roman" w:hAnsi="Times New Roman" w:cs="Times New Roman"/>
                <w:b/>
                <w:bCs/>
                <w:color w:val="000000"/>
                <w:sz w:val="20"/>
                <w:szCs w:val="20"/>
                <w:lang w:eastAsia="sk-SK"/>
              </w:rPr>
            </w:pPr>
            <w:r w:rsidRPr="00B01E8A">
              <w:rPr>
                <w:rFonts w:ascii="Times New Roman" w:hAnsi="Times New Roman" w:cs="Times New Roman"/>
                <w:b/>
                <w:bCs/>
                <w:color w:val="000000"/>
                <w:sz w:val="20"/>
                <w:szCs w:val="20"/>
              </w:rPr>
              <w:t>9 275 695</w:t>
            </w:r>
          </w:p>
        </w:tc>
      </w:tr>
      <w:tr w:rsidR="00B01E8A" w:rsidRPr="00965670" w14:paraId="1D9A5C90" w14:textId="77777777" w:rsidTr="008342BB">
        <w:trPr>
          <w:trHeight w:val="300"/>
        </w:trPr>
        <w:tc>
          <w:tcPr>
            <w:tcW w:w="4540" w:type="dxa"/>
            <w:tcBorders>
              <w:top w:val="single" w:sz="8" w:space="0" w:color="auto"/>
              <w:left w:val="single" w:sz="8" w:space="0" w:color="auto"/>
              <w:bottom w:val="single" w:sz="8" w:space="0" w:color="auto"/>
              <w:right w:val="single" w:sz="4" w:space="0" w:color="auto"/>
            </w:tcBorders>
            <w:shd w:val="clear" w:color="auto" w:fill="auto"/>
            <w:vAlign w:val="center"/>
            <w:hideMark/>
          </w:tcPr>
          <w:p w14:paraId="4BB3A47B" w14:textId="1DB66210" w:rsidR="00B01E8A" w:rsidRPr="00B01E8A" w:rsidRDefault="00B01E8A" w:rsidP="00B01E8A">
            <w:pPr>
              <w:spacing w:after="0" w:line="240" w:lineRule="auto"/>
              <w:rPr>
                <w:rFonts w:ascii="Times New Roman" w:eastAsia="Times New Roman" w:hAnsi="Times New Roman" w:cs="Times New Roman"/>
                <w:b/>
                <w:bCs/>
                <w:i/>
                <w:iCs/>
                <w:color w:val="000000"/>
                <w:sz w:val="20"/>
                <w:szCs w:val="20"/>
                <w:lang w:eastAsia="sk-SK"/>
              </w:rPr>
            </w:pPr>
            <w:r w:rsidRPr="00B01E8A">
              <w:rPr>
                <w:rFonts w:ascii="Times New Roman" w:hAnsi="Times New Roman" w:cs="Times New Roman"/>
                <w:b/>
                <w:bCs/>
                <w:i/>
                <w:iCs/>
                <w:color w:val="000000"/>
                <w:sz w:val="20"/>
                <w:szCs w:val="20"/>
              </w:rPr>
              <w:t>Spolu = A+B+C+D+E</w:t>
            </w:r>
          </w:p>
        </w:tc>
        <w:tc>
          <w:tcPr>
            <w:tcW w:w="1880" w:type="dxa"/>
            <w:tcBorders>
              <w:top w:val="single" w:sz="8" w:space="0" w:color="auto"/>
              <w:left w:val="nil"/>
              <w:bottom w:val="single" w:sz="8" w:space="0" w:color="auto"/>
              <w:right w:val="single" w:sz="4" w:space="0" w:color="auto"/>
            </w:tcBorders>
            <w:shd w:val="clear" w:color="000000" w:fill="FFC000"/>
            <w:vAlign w:val="center"/>
            <w:hideMark/>
          </w:tcPr>
          <w:p w14:paraId="45B9E72A" w14:textId="4AAAF7F2" w:rsidR="00B01E8A" w:rsidRPr="00B01E8A" w:rsidRDefault="00B01E8A" w:rsidP="00B01E8A">
            <w:pPr>
              <w:spacing w:after="0" w:line="240" w:lineRule="auto"/>
              <w:jc w:val="center"/>
              <w:rPr>
                <w:rFonts w:ascii="Times New Roman" w:eastAsia="Times New Roman" w:hAnsi="Times New Roman" w:cs="Times New Roman"/>
                <w:b/>
                <w:bCs/>
                <w:color w:val="000000"/>
                <w:sz w:val="20"/>
                <w:szCs w:val="20"/>
                <w:lang w:eastAsia="sk-SK"/>
              </w:rPr>
            </w:pPr>
            <w:r w:rsidRPr="00B01E8A">
              <w:rPr>
                <w:rFonts w:ascii="Times New Roman" w:hAnsi="Times New Roman" w:cs="Times New Roman"/>
                <w:b/>
                <w:bCs/>
                <w:color w:val="000000"/>
                <w:sz w:val="20"/>
                <w:szCs w:val="20"/>
              </w:rPr>
              <w:t>8 513 531</w:t>
            </w:r>
          </w:p>
        </w:tc>
        <w:tc>
          <w:tcPr>
            <w:tcW w:w="1880" w:type="dxa"/>
            <w:tcBorders>
              <w:top w:val="single" w:sz="8" w:space="0" w:color="auto"/>
              <w:left w:val="nil"/>
              <w:bottom w:val="single" w:sz="8" w:space="0" w:color="auto"/>
              <w:right w:val="single" w:sz="8" w:space="0" w:color="auto"/>
            </w:tcBorders>
            <w:shd w:val="clear" w:color="000000" w:fill="92D050"/>
            <w:vAlign w:val="center"/>
            <w:hideMark/>
          </w:tcPr>
          <w:p w14:paraId="07E5FFFE" w14:textId="66BB433C" w:rsidR="00B01E8A" w:rsidRPr="00B01E8A" w:rsidRDefault="00B01E8A" w:rsidP="00B01E8A">
            <w:pPr>
              <w:spacing w:after="0" w:line="240" w:lineRule="auto"/>
              <w:jc w:val="center"/>
              <w:rPr>
                <w:rFonts w:ascii="Times New Roman" w:eastAsia="Times New Roman" w:hAnsi="Times New Roman" w:cs="Times New Roman"/>
                <w:b/>
                <w:bCs/>
                <w:color w:val="000000"/>
                <w:sz w:val="20"/>
                <w:szCs w:val="20"/>
                <w:lang w:eastAsia="sk-SK"/>
              </w:rPr>
            </w:pPr>
            <w:r w:rsidRPr="00B01E8A">
              <w:rPr>
                <w:rFonts w:ascii="Times New Roman" w:hAnsi="Times New Roman" w:cs="Times New Roman"/>
                <w:b/>
                <w:bCs/>
                <w:color w:val="000000"/>
                <w:sz w:val="20"/>
                <w:szCs w:val="20"/>
              </w:rPr>
              <w:t>9 650 695</w:t>
            </w:r>
          </w:p>
        </w:tc>
      </w:tr>
      <w:tr w:rsidR="00B01E8A" w:rsidRPr="00965670" w14:paraId="1D470744" w14:textId="77777777" w:rsidTr="008342BB">
        <w:trPr>
          <w:trHeight w:val="300"/>
        </w:trPr>
        <w:tc>
          <w:tcPr>
            <w:tcW w:w="4540" w:type="dxa"/>
            <w:tcBorders>
              <w:top w:val="nil"/>
              <w:left w:val="nil"/>
              <w:bottom w:val="nil"/>
              <w:right w:val="nil"/>
            </w:tcBorders>
            <w:shd w:val="clear" w:color="auto" w:fill="auto"/>
            <w:vAlign w:val="center"/>
            <w:hideMark/>
          </w:tcPr>
          <w:p w14:paraId="45DDB703" w14:textId="77777777" w:rsidR="00B01E8A" w:rsidRPr="00B01E8A" w:rsidRDefault="00B01E8A" w:rsidP="00B01E8A">
            <w:pPr>
              <w:spacing w:after="0" w:line="240" w:lineRule="auto"/>
              <w:jc w:val="center"/>
              <w:rPr>
                <w:rFonts w:ascii="Times New Roman" w:eastAsia="Times New Roman" w:hAnsi="Times New Roman" w:cs="Times New Roman"/>
                <w:b/>
                <w:bCs/>
                <w:color w:val="000000"/>
                <w:sz w:val="20"/>
                <w:szCs w:val="20"/>
                <w:lang w:eastAsia="sk-SK"/>
              </w:rPr>
            </w:pPr>
          </w:p>
        </w:tc>
        <w:tc>
          <w:tcPr>
            <w:tcW w:w="1880" w:type="dxa"/>
            <w:tcBorders>
              <w:top w:val="nil"/>
              <w:left w:val="nil"/>
              <w:bottom w:val="nil"/>
              <w:right w:val="nil"/>
            </w:tcBorders>
            <w:shd w:val="clear" w:color="auto" w:fill="auto"/>
            <w:vAlign w:val="center"/>
            <w:hideMark/>
          </w:tcPr>
          <w:p w14:paraId="65C2B87E" w14:textId="77777777" w:rsidR="00B01E8A" w:rsidRPr="00B01E8A" w:rsidRDefault="00B01E8A" w:rsidP="00B01E8A">
            <w:pPr>
              <w:spacing w:after="0" w:line="240" w:lineRule="auto"/>
              <w:rPr>
                <w:rFonts w:ascii="Times New Roman" w:eastAsia="Times New Roman" w:hAnsi="Times New Roman" w:cs="Times New Roman"/>
                <w:sz w:val="20"/>
                <w:szCs w:val="20"/>
                <w:lang w:eastAsia="sk-SK"/>
              </w:rPr>
            </w:pPr>
          </w:p>
        </w:tc>
        <w:tc>
          <w:tcPr>
            <w:tcW w:w="1880" w:type="dxa"/>
            <w:tcBorders>
              <w:top w:val="nil"/>
              <w:left w:val="nil"/>
              <w:bottom w:val="nil"/>
              <w:right w:val="nil"/>
            </w:tcBorders>
            <w:shd w:val="clear" w:color="auto" w:fill="auto"/>
            <w:vAlign w:val="center"/>
            <w:hideMark/>
          </w:tcPr>
          <w:p w14:paraId="7A2CA1C5" w14:textId="77777777" w:rsidR="00B01E8A" w:rsidRPr="00B01E8A" w:rsidRDefault="00B01E8A" w:rsidP="00B01E8A">
            <w:pPr>
              <w:spacing w:after="0" w:line="240" w:lineRule="auto"/>
              <w:rPr>
                <w:rFonts w:ascii="Times New Roman" w:eastAsia="Times New Roman" w:hAnsi="Times New Roman" w:cs="Times New Roman"/>
                <w:sz w:val="20"/>
                <w:szCs w:val="20"/>
                <w:lang w:eastAsia="sk-SK"/>
              </w:rPr>
            </w:pPr>
          </w:p>
        </w:tc>
      </w:tr>
      <w:tr w:rsidR="00B01E8A" w:rsidRPr="00965670" w14:paraId="5D899EE0" w14:textId="77777777" w:rsidTr="008342BB">
        <w:trPr>
          <w:trHeight w:val="600"/>
        </w:trPr>
        <w:tc>
          <w:tcPr>
            <w:tcW w:w="4540" w:type="dxa"/>
            <w:tcBorders>
              <w:top w:val="single" w:sz="8" w:space="0" w:color="auto"/>
              <w:left w:val="single" w:sz="8" w:space="0" w:color="auto"/>
              <w:bottom w:val="single" w:sz="8" w:space="0" w:color="auto"/>
              <w:right w:val="single" w:sz="4" w:space="0" w:color="auto"/>
            </w:tcBorders>
            <w:shd w:val="clear" w:color="auto" w:fill="auto"/>
            <w:vAlign w:val="center"/>
            <w:hideMark/>
          </w:tcPr>
          <w:p w14:paraId="48EE898E" w14:textId="1768AA49" w:rsidR="00B01E8A" w:rsidRPr="00B01E8A" w:rsidRDefault="00B01E8A" w:rsidP="00B01E8A">
            <w:pPr>
              <w:spacing w:after="0" w:line="240" w:lineRule="auto"/>
              <w:rPr>
                <w:rFonts w:ascii="Times New Roman" w:eastAsia="Times New Roman" w:hAnsi="Times New Roman" w:cs="Times New Roman"/>
                <w:b/>
                <w:bCs/>
                <w:i/>
                <w:iCs/>
                <w:color w:val="000000"/>
                <w:sz w:val="20"/>
                <w:szCs w:val="20"/>
                <w:lang w:eastAsia="sk-SK"/>
              </w:rPr>
            </w:pPr>
            <w:r w:rsidRPr="00B01E8A">
              <w:rPr>
                <w:rFonts w:ascii="Times New Roman" w:hAnsi="Times New Roman" w:cs="Times New Roman"/>
                <w:b/>
                <w:bCs/>
                <w:i/>
                <w:iCs/>
                <w:color w:val="000000"/>
                <w:sz w:val="20"/>
                <w:szCs w:val="20"/>
              </w:rPr>
              <w:t>Harmonizácia práva EÚ</w:t>
            </w:r>
          </w:p>
        </w:tc>
        <w:tc>
          <w:tcPr>
            <w:tcW w:w="1880" w:type="dxa"/>
            <w:tcBorders>
              <w:top w:val="single" w:sz="8" w:space="0" w:color="auto"/>
              <w:left w:val="nil"/>
              <w:bottom w:val="single" w:sz="8" w:space="0" w:color="auto"/>
              <w:right w:val="single" w:sz="4" w:space="0" w:color="auto"/>
            </w:tcBorders>
            <w:shd w:val="clear" w:color="000000" w:fill="FFC000"/>
            <w:vAlign w:val="center"/>
            <w:hideMark/>
          </w:tcPr>
          <w:p w14:paraId="021FDBDD" w14:textId="72B32D68" w:rsidR="00B01E8A" w:rsidRPr="00B01E8A" w:rsidRDefault="00B01E8A" w:rsidP="00B01E8A">
            <w:pPr>
              <w:spacing w:after="0" w:line="240" w:lineRule="auto"/>
              <w:jc w:val="center"/>
              <w:rPr>
                <w:rFonts w:ascii="Times New Roman" w:eastAsia="Times New Roman" w:hAnsi="Times New Roman" w:cs="Times New Roman"/>
                <w:b/>
                <w:bCs/>
                <w:color w:val="000000"/>
                <w:sz w:val="20"/>
                <w:szCs w:val="20"/>
                <w:lang w:eastAsia="sk-SK"/>
              </w:rPr>
            </w:pPr>
            <w:r w:rsidRPr="00B01E8A">
              <w:rPr>
                <w:rFonts w:ascii="Times New Roman" w:hAnsi="Times New Roman" w:cs="Times New Roman"/>
                <w:b/>
                <w:bCs/>
                <w:color w:val="000000"/>
                <w:sz w:val="20"/>
                <w:szCs w:val="20"/>
              </w:rPr>
              <w:t>Zvýšenie nákladov v € na PP</w:t>
            </w:r>
          </w:p>
        </w:tc>
        <w:tc>
          <w:tcPr>
            <w:tcW w:w="1880" w:type="dxa"/>
            <w:tcBorders>
              <w:top w:val="single" w:sz="8" w:space="0" w:color="auto"/>
              <w:left w:val="nil"/>
              <w:bottom w:val="single" w:sz="8" w:space="0" w:color="auto"/>
              <w:right w:val="single" w:sz="8" w:space="0" w:color="auto"/>
            </w:tcBorders>
            <w:shd w:val="clear" w:color="000000" w:fill="92D050"/>
            <w:vAlign w:val="center"/>
            <w:hideMark/>
          </w:tcPr>
          <w:p w14:paraId="1B426782" w14:textId="1D354450" w:rsidR="00B01E8A" w:rsidRPr="00B01E8A" w:rsidRDefault="00B01E8A" w:rsidP="00B01E8A">
            <w:pPr>
              <w:spacing w:after="0" w:line="240" w:lineRule="auto"/>
              <w:jc w:val="center"/>
              <w:rPr>
                <w:rFonts w:ascii="Times New Roman" w:eastAsia="Times New Roman" w:hAnsi="Times New Roman" w:cs="Times New Roman"/>
                <w:b/>
                <w:bCs/>
                <w:color w:val="000000"/>
                <w:sz w:val="20"/>
                <w:szCs w:val="20"/>
                <w:lang w:eastAsia="sk-SK"/>
              </w:rPr>
            </w:pPr>
            <w:r w:rsidRPr="00B01E8A">
              <w:rPr>
                <w:rFonts w:ascii="Times New Roman" w:hAnsi="Times New Roman" w:cs="Times New Roman"/>
                <w:b/>
                <w:bCs/>
                <w:color w:val="000000"/>
                <w:sz w:val="20"/>
                <w:szCs w:val="20"/>
              </w:rPr>
              <w:t>Zníženie nákladov v € na PP</w:t>
            </w:r>
          </w:p>
        </w:tc>
      </w:tr>
      <w:tr w:rsidR="00B01E8A" w:rsidRPr="00965670" w14:paraId="08E0715D" w14:textId="77777777" w:rsidTr="008342BB">
        <w:trPr>
          <w:trHeight w:val="990"/>
        </w:trPr>
        <w:tc>
          <w:tcPr>
            <w:tcW w:w="4540" w:type="dxa"/>
            <w:tcBorders>
              <w:top w:val="nil"/>
              <w:left w:val="single" w:sz="8" w:space="0" w:color="auto"/>
              <w:bottom w:val="nil"/>
              <w:right w:val="single" w:sz="4" w:space="0" w:color="auto"/>
            </w:tcBorders>
            <w:shd w:val="clear" w:color="auto" w:fill="auto"/>
            <w:vAlign w:val="center"/>
            <w:hideMark/>
          </w:tcPr>
          <w:p w14:paraId="03A0CE25" w14:textId="1D5F1B5D" w:rsidR="00B01E8A" w:rsidRPr="00B01E8A" w:rsidRDefault="00B01E8A" w:rsidP="00B01E8A">
            <w:pPr>
              <w:spacing w:after="0" w:line="240" w:lineRule="auto"/>
              <w:rPr>
                <w:rFonts w:ascii="Times New Roman" w:eastAsia="Times New Roman" w:hAnsi="Times New Roman" w:cs="Times New Roman"/>
                <w:b/>
                <w:bCs/>
                <w:i/>
                <w:iCs/>
                <w:color w:val="000000"/>
                <w:sz w:val="20"/>
                <w:szCs w:val="20"/>
                <w:lang w:eastAsia="sk-SK"/>
              </w:rPr>
            </w:pPr>
            <w:r w:rsidRPr="00B01E8A">
              <w:rPr>
                <w:rFonts w:ascii="Times New Roman" w:hAnsi="Times New Roman" w:cs="Times New Roman"/>
                <w:b/>
                <w:bCs/>
                <w:i/>
                <w:iCs/>
                <w:color w:val="000000"/>
                <w:sz w:val="20"/>
                <w:szCs w:val="20"/>
              </w:rPr>
              <w:t>F. Úplná harmonizácia práva EÚ</w:t>
            </w:r>
            <w:r w:rsidRPr="00B01E8A">
              <w:rPr>
                <w:rFonts w:ascii="Times New Roman" w:hAnsi="Times New Roman" w:cs="Times New Roman"/>
                <w:b/>
                <w:bCs/>
                <w:i/>
                <w:iCs/>
                <w:color w:val="000000"/>
                <w:sz w:val="20"/>
                <w:szCs w:val="20"/>
              </w:rPr>
              <w:br/>
            </w:r>
            <w:r w:rsidRPr="00B01E8A">
              <w:rPr>
                <w:rFonts w:ascii="Times New Roman" w:hAnsi="Times New Roman" w:cs="Times New Roman"/>
                <w:i/>
                <w:iCs/>
                <w:color w:val="000000"/>
                <w:sz w:val="20"/>
                <w:szCs w:val="20"/>
              </w:rPr>
              <w:t xml:space="preserve">(okrem daní, odvodov, ciel a poplatkov, ktorých cieľom je znižovať negatívne </w:t>
            </w:r>
            <w:proofErr w:type="spellStart"/>
            <w:r w:rsidRPr="00B01E8A">
              <w:rPr>
                <w:rFonts w:ascii="Times New Roman" w:hAnsi="Times New Roman" w:cs="Times New Roman"/>
                <w:i/>
                <w:iCs/>
                <w:color w:val="000000"/>
                <w:sz w:val="20"/>
                <w:szCs w:val="20"/>
              </w:rPr>
              <w:t>externality</w:t>
            </w:r>
            <w:proofErr w:type="spellEnd"/>
            <w:r w:rsidRPr="00B01E8A">
              <w:rPr>
                <w:rFonts w:ascii="Times New Roman" w:hAnsi="Times New Roman" w:cs="Times New Roman"/>
                <w:i/>
                <w:iCs/>
                <w:color w:val="000000"/>
                <w:sz w:val="20"/>
                <w:szCs w:val="20"/>
              </w:rPr>
              <w:t>)</w:t>
            </w:r>
          </w:p>
        </w:tc>
        <w:tc>
          <w:tcPr>
            <w:tcW w:w="1880" w:type="dxa"/>
            <w:tcBorders>
              <w:top w:val="nil"/>
              <w:left w:val="nil"/>
              <w:bottom w:val="nil"/>
              <w:right w:val="single" w:sz="4" w:space="0" w:color="auto"/>
            </w:tcBorders>
            <w:shd w:val="clear" w:color="000000" w:fill="FFC000"/>
            <w:vAlign w:val="center"/>
            <w:hideMark/>
          </w:tcPr>
          <w:p w14:paraId="4B1121F4" w14:textId="5782389E" w:rsidR="00B01E8A" w:rsidRPr="00B01E8A" w:rsidRDefault="00B01E8A" w:rsidP="00B01E8A">
            <w:pPr>
              <w:spacing w:after="0" w:line="240" w:lineRule="auto"/>
              <w:jc w:val="center"/>
              <w:rPr>
                <w:rFonts w:ascii="Times New Roman" w:eastAsia="Times New Roman" w:hAnsi="Times New Roman" w:cs="Times New Roman"/>
                <w:b/>
                <w:bCs/>
                <w:color w:val="000000"/>
                <w:sz w:val="20"/>
                <w:szCs w:val="20"/>
                <w:lang w:eastAsia="sk-SK"/>
              </w:rPr>
            </w:pPr>
            <w:r w:rsidRPr="00B01E8A">
              <w:rPr>
                <w:rFonts w:ascii="Times New Roman" w:hAnsi="Times New Roman" w:cs="Times New Roman"/>
                <w:b/>
                <w:bCs/>
                <w:color w:val="000000"/>
                <w:sz w:val="20"/>
                <w:szCs w:val="20"/>
              </w:rPr>
              <w:t>0</w:t>
            </w:r>
          </w:p>
        </w:tc>
        <w:tc>
          <w:tcPr>
            <w:tcW w:w="1880" w:type="dxa"/>
            <w:tcBorders>
              <w:top w:val="nil"/>
              <w:left w:val="nil"/>
              <w:bottom w:val="nil"/>
              <w:right w:val="single" w:sz="8" w:space="0" w:color="auto"/>
            </w:tcBorders>
            <w:shd w:val="clear" w:color="000000" w:fill="92D050"/>
            <w:vAlign w:val="center"/>
            <w:hideMark/>
          </w:tcPr>
          <w:p w14:paraId="6B50768A" w14:textId="059BC615" w:rsidR="00B01E8A" w:rsidRPr="00B01E8A" w:rsidRDefault="00B01E8A" w:rsidP="00B01E8A">
            <w:pPr>
              <w:spacing w:after="0" w:line="240" w:lineRule="auto"/>
              <w:jc w:val="center"/>
              <w:rPr>
                <w:rFonts w:ascii="Times New Roman" w:eastAsia="Times New Roman" w:hAnsi="Times New Roman" w:cs="Times New Roman"/>
                <w:b/>
                <w:bCs/>
                <w:color w:val="000000"/>
                <w:sz w:val="20"/>
                <w:szCs w:val="20"/>
                <w:lang w:eastAsia="sk-SK"/>
              </w:rPr>
            </w:pPr>
            <w:r w:rsidRPr="00B01E8A">
              <w:rPr>
                <w:rFonts w:ascii="Times New Roman" w:hAnsi="Times New Roman" w:cs="Times New Roman"/>
                <w:b/>
                <w:bCs/>
                <w:color w:val="000000"/>
                <w:sz w:val="20"/>
                <w:szCs w:val="20"/>
              </w:rPr>
              <w:t>0</w:t>
            </w:r>
          </w:p>
        </w:tc>
      </w:tr>
      <w:tr w:rsidR="00B01E8A" w:rsidRPr="00965670" w14:paraId="2EFAEE46" w14:textId="77777777" w:rsidTr="008342BB">
        <w:trPr>
          <w:trHeight w:val="270"/>
        </w:trPr>
        <w:tc>
          <w:tcPr>
            <w:tcW w:w="4540" w:type="dxa"/>
            <w:tcBorders>
              <w:top w:val="single" w:sz="8" w:space="0" w:color="auto"/>
              <w:left w:val="single" w:sz="8" w:space="0" w:color="auto"/>
              <w:bottom w:val="single" w:sz="8" w:space="0" w:color="auto"/>
              <w:right w:val="single" w:sz="4" w:space="0" w:color="auto"/>
            </w:tcBorders>
            <w:shd w:val="clear" w:color="auto" w:fill="auto"/>
            <w:vAlign w:val="center"/>
            <w:hideMark/>
          </w:tcPr>
          <w:p w14:paraId="2569BF8C" w14:textId="6EE3AD31" w:rsidR="00B01E8A" w:rsidRPr="00B01E8A" w:rsidRDefault="00B01E8A" w:rsidP="00B01E8A">
            <w:pPr>
              <w:spacing w:after="0" w:line="240" w:lineRule="auto"/>
              <w:rPr>
                <w:rFonts w:ascii="Times New Roman" w:eastAsia="Times New Roman" w:hAnsi="Times New Roman" w:cs="Times New Roman"/>
                <w:b/>
                <w:bCs/>
                <w:i/>
                <w:iCs/>
                <w:color w:val="000000"/>
                <w:sz w:val="20"/>
                <w:szCs w:val="20"/>
                <w:lang w:eastAsia="sk-SK"/>
              </w:rPr>
            </w:pPr>
            <w:r w:rsidRPr="00B01E8A">
              <w:rPr>
                <w:rFonts w:ascii="Times New Roman" w:hAnsi="Times New Roman" w:cs="Times New Roman"/>
                <w:b/>
                <w:bCs/>
                <w:i/>
                <w:iCs/>
                <w:color w:val="000000"/>
                <w:sz w:val="20"/>
                <w:szCs w:val="20"/>
              </w:rPr>
              <w:t xml:space="preserve">G. </w:t>
            </w:r>
            <w:proofErr w:type="spellStart"/>
            <w:r w:rsidRPr="00B01E8A">
              <w:rPr>
                <w:rFonts w:ascii="Times New Roman" w:hAnsi="Times New Roman" w:cs="Times New Roman"/>
                <w:b/>
                <w:bCs/>
                <w:i/>
                <w:iCs/>
                <w:color w:val="000000"/>
                <w:sz w:val="20"/>
                <w:szCs w:val="20"/>
              </w:rPr>
              <w:t>Goldplating</w:t>
            </w:r>
            <w:proofErr w:type="spellEnd"/>
          </w:p>
        </w:tc>
        <w:tc>
          <w:tcPr>
            <w:tcW w:w="1880" w:type="dxa"/>
            <w:tcBorders>
              <w:top w:val="single" w:sz="8" w:space="0" w:color="auto"/>
              <w:left w:val="nil"/>
              <w:bottom w:val="single" w:sz="8" w:space="0" w:color="auto"/>
              <w:right w:val="single" w:sz="4" w:space="0" w:color="auto"/>
            </w:tcBorders>
            <w:shd w:val="clear" w:color="000000" w:fill="FFC000"/>
            <w:vAlign w:val="center"/>
            <w:hideMark/>
          </w:tcPr>
          <w:p w14:paraId="64E631A1" w14:textId="2D1751EA" w:rsidR="00B01E8A" w:rsidRPr="00B01E8A" w:rsidRDefault="00B01E8A" w:rsidP="00B01E8A">
            <w:pPr>
              <w:spacing w:after="0" w:line="240" w:lineRule="auto"/>
              <w:jc w:val="center"/>
              <w:rPr>
                <w:rFonts w:ascii="Times New Roman" w:eastAsia="Times New Roman" w:hAnsi="Times New Roman" w:cs="Times New Roman"/>
                <w:b/>
                <w:bCs/>
                <w:color w:val="000000"/>
                <w:sz w:val="20"/>
                <w:szCs w:val="20"/>
                <w:lang w:eastAsia="sk-SK"/>
              </w:rPr>
            </w:pPr>
            <w:r w:rsidRPr="00B01E8A">
              <w:rPr>
                <w:rFonts w:ascii="Times New Roman" w:hAnsi="Times New Roman" w:cs="Times New Roman"/>
                <w:b/>
                <w:bCs/>
                <w:color w:val="000000"/>
                <w:sz w:val="20"/>
                <w:szCs w:val="20"/>
              </w:rPr>
              <w:t>0</w:t>
            </w:r>
          </w:p>
        </w:tc>
        <w:tc>
          <w:tcPr>
            <w:tcW w:w="1880" w:type="dxa"/>
            <w:tcBorders>
              <w:top w:val="single" w:sz="8" w:space="0" w:color="auto"/>
              <w:left w:val="nil"/>
              <w:bottom w:val="single" w:sz="8" w:space="0" w:color="auto"/>
              <w:right w:val="single" w:sz="8" w:space="0" w:color="auto"/>
            </w:tcBorders>
            <w:shd w:val="clear" w:color="000000" w:fill="92D050"/>
            <w:vAlign w:val="center"/>
            <w:hideMark/>
          </w:tcPr>
          <w:p w14:paraId="6E0ACA2C" w14:textId="21314243" w:rsidR="00B01E8A" w:rsidRPr="00B01E8A" w:rsidRDefault="00B01E8A" w:rsidP="00B01E8A">
            <w:pPr>
              <w:spacing w:after="0" w:line="240" w:lineRule="auto"/>
              <w:jc w:val="center"/>
              <w:rPr>
                <w:rFonts w:ascii="Times New Roman" w:eastAsia="Times New Roman" w:hAnsi="Times New Roman" w:cs="Times New Roman"/>
                <w:b/>
                <w:bCs/>
                <w:color w:val="000000"/>
                <w:sz w:val="20"/>
                <w:szCs w:val="20"/>
                <w:lang w:eastAsia="sk-SK"/>
              </w:rPr>
            </w:pPr>
            <w:r w:rsidRPr="00B01E8A">
              <w:rPr>
                <w:rFonts w:ascii="Times New Roman" w:hAnsi="Times New Roman" w:cs="Times New Roman"/>
                <w:b/>
                <w:bCs/>
                <w:color w:val="000000"/>
                <w:sz w:val="20"/>
                <w:szCs w:val="20"/>
              </w:rPr>
              <w:t>0</w:t>
            </w:r>
          </w:p>
        </w:tc>
      </w:tr>
      <w:tr w:rsidR="00B01E8A" w:rsidRPr="00965670" w14:paraId="3603DBF5" w14:textId="77777777" w:rsidTr="008342BB">
        <w:trPr>
          <w:trHeight w:val="270"/>
        </w:trPr>
        <w:tc>
          <w:tcPr>
            <w:tcW w:w="4540" w:type="dxa"/>
            <w:tcBorders>
              <w:top w:val="nil"/>
              <w:left w:val="nil"/>
              <w:bottom w:val="nil"/>
              <w:right w:val="nil"/>
            </w:tcBorders>
            <w:shd w:val="clear" w:color="auto" w:fill="auto"/>
            <w:noWrap/>
            <w:vAlign w:val="bottom"/>
            <w:hideMark/>
          </w:tcPr>
          <w:p w14:paraId="6B93C9AB" w14:textId="77777777" w:rsidR="00B01E8A" w:rsidRPr="00B01E8A" w:rsidRDefault="00B01E8A" w:rsidP="00B01E8A">
            <w:pPr>
              <w:spacing w:after="0" w:line="240" w:lineRule="auto"/>
              <w:jc w:val="center"/>
              <w:rPr>
                <w:rFonts w:ascii="Times New Roman" w:eastAsia="Times New Roman" w:hAnsi="Times New Roman" w:cs="Times New Roman"/>
                <w:b/>
                <w:bCs/>
                <w:color w:val="000000"/>
                <w:sz w:val="20"/>
                <w:szCs w:val="20"/>
                <w:lang w:eastAsia="sk-SK"/>
              </w:rPr>
            </w:pPr>
          </w:p>
        </w:tc>
        <w:tc>
          <w:tcPr>
            <w:tcW w:w="1880" w:type="dxa"/>
            <w:tcBorders>
              <w:top w:val="nil"/>
              <w:left w:val="nil"/>
              <w:bottom w:val="nil"/>
              <w:right w:val="nil"/>
            </w:tcBorders>
            <w:shd w:val="clear" w:color="auto" w:fill="auto"/>
            <w:vAlign w:val="center"/>
            <w:hideMark/>
          </w:tcPr>
          <w:p w14:paraId="1FACA7F3" w14:textId="77777777" w:rsidR="00B01E8A" w:rsidRPr="00B01E8A" w:rsidRDefault="00B01E8A" w:rsidP="00B01E8A">
            <w:pPr>
              <w:spacing w:after="0" w:line="240" w:lineRule="auto"/>
              <w:rPr>
                <w:rFonts w:ascii="Times New Roman" w:eastAsia="Times New Roman" w:hAnsi="Times New Roman" w:cs="Times New Roman"/>
                <w:sz w:val="20"/>
                <w:szCs w:val="20"/>
                <w:lang w:eastAsia="sk-SK"/>
              </w:rPr>
            </w:pPr>
          </w:p>
        </w:tc>
        <w:tc>
          <w:tcPr>
            <w:tcW w:w="1880" w:type="dxa"/>
            <w:tcBorders>
              <w:top w:val="nil"/>
              <w:left w:val="nil"/>
              <w:bottom w:val="nil"/>
              <w:right w:val="nil"/>
            </w:tcBorders>
            <w:shd w:val="clear" w:color="auto" w:fill="auto"/>
            <w:vAlign w:val="center"/>
            <w:hideMark/>
          </w:tcPr>
          <w:p w14:paraId="3DB3CE73" w14:textId="77777777" w:rsidR="00B01E8A" w:rsidRPr="00B01E8A" w:rsidRDefault="00B01E8A" w:rsidP="00B01E8A">
            <w:pPr>
              <w:spacing w:after="0" w:line="240" w:lineRule="auto"/>
              <w:rPr>
                <w:rFonts w:ascii="Times New Roman" w:eastAsia="Times New Roman" w:hAnsi="Times New Roman" w:cs="Times New Roman"/>
                <w:sz w:val="20"/>
                <w:szCs w:val="20"/>
                <w:lang w:eastAsia="sk-SK"/>
              </w:rPr>
            </w:pPr>
          </w:p>
        </w:tc>
      </w:tr>
      <w:tr w:rsidR="00B01E8A" w:rsidRPr="00965670" w14:paraId="76C468A4" w14:textId="77777777" w:rsidTr="008342BB">
        <w:trPr>
          <w:trHeight w:val="270"/>
        </w:trPr>
        <w:tc>
          <w:tcPr>
            <w:tcW w:w="4540" w:type="dxa"/>
            <w:tcBorders>
              <w:top w:val="nil"/>
              <w:left w:val="nil"/>
              <w:bottom w:val="nil"/>
              <w:right w:val="nil"/>
            </w:tcBorders>
            <w:shd w:val="clear" w:color="auto" w:fill="auto"/>
            <w:noWrap/>
            <w:vAlign w:val="bottom"/>
            <w:hideMark/>
          </w:tcPr>
          <w:p w14:paraId="4D1A1919" w14:textId="77777777" w:rsidR="00B01E8A" w:rsidRPr="00B01E8A" w:rsidRDefault="00B01E8A" w:rsidP="00B01E8A">
            <w:pPr>
              <w:spacing w:after="0" w:line="240" w:lineRule="auto"/>
              <w:rPr>
                <w:rFonts w:ascii="Times New Roman" w:eastAsia="Times New Roman" w:hAnsi="Times New Roman" w:cs="Times New Roman"/>
                <w:sz w:val="20"/>
                <w:szCs w:val="20"/>
                <w:lang w:eastAsia="sk-SK"/>
              </w:rPr>
            </w:pPr>
          </w:p>
        </w:tc>
        <w:tc>
          <w:tcPr>
            <w:tcW w:w="1880" w:type="dxa"/>
            <w:tcBorders>
              <w:top w:val="nil"/>
              <w:left w:val="nil"/>
              <w:bottom w:val="nil"/>
              <w:right w:val="nil"/>
            </w:tcBorders>
            <w:shd w:val="clear" w:color="auto" w:fill="auto"/>
            <w:vAlign w:val="center"/>
            <w:hideMark/>
          </w:tcPr>
          <w:p w14:paraId="7D41BEC7" w14:textId="77777777" w:rsidR="00B01E8A" w:rsidRPr="00B01E8A" w:rsidRDefault="00B01E8A" w:rsidP="00B01E8A">
            <w:pPr>
              <w:spacing w:after="0" w:line="240" w:lineRule="auto"/>
              <w:rPr>
                <w:rFonts w:ascii="Times New Roman" w:eastAsia="Times New Roman" w:hAnsi="Times New Roman" w:cs="Times New Roman"/>
                <w:sz w:val="20"/>
                <w:szCs w:val="20"/>
                <w:lang w:eastAsia="sk-SK"/>
              </w:rPr>
            </w:pPr>
          </w:p>
        </w:tc>
        <w:tc>
          <w:tcPr>
            <w:tcW w:w="1880" w:type="dxa"/>
            <w:tcBorders>
              <w:top w:val="nil"/>
              <w:left w:val="nil"/>
              <w:bottom w:val="nil"/>
              <w:right w:val="nil"/>
            </w:tcBorders>
            <w:shd w:val="clear" w:color="auto" w:fill="auto"/>
            <w:vAlign w:val="center"/>
            <w:hideMark/>
          </w:tcPr>
          <w:p w14:paraId="5E40CB4E" w14:textId="77777777" w:rsidR="00B01E8A" w:rsidRPr="00B01E8A" w:rsidRDefault="00B01E8A" w:rsidP="00B01E8A">
            <w:pPr>
              <w:spacing w:after="0" w:line="240" w:lineRule="auto"/>
              <w:rPr>
                <w:rFonts w:ascii="Times New Roman" w:eastAsia="Times New Roman" w:hAnsi="Times New Roman" w:cs="Times New Roman"/>
                <w:sz w:val="20"/>
                <w:szCs w:val="20"/>
                <w:lang w:eastAsia="sk-SK"/>
              </w:rPr>
            </w:pPr>
          </w:p>
        </w:tc>
      </w:tr>
      <w:tr w:rsidR="00B01E8A" w:rsidRPr="00965670" w14:paraId="40935232" w14:textId="77777777" w:rsidTr="008342BB">
        <w:trPr>
          <w:trHeight w:val="330"/>
        </w:trPr>
        <w:tc>
          <w:tcPr>
            <w:tcW w:w="4540" w:type="dxa"/>
            <w:tcBorders>
              <w:top w:val="single" w:sz="8" w:space="0" w:color="auto"/>
              <w:left w:val="single" w:sz="8" w:space="0" w:color="auto"/>
              <w:bottom w:val="single" w:sz="4" w:space="0" w:color="auto"/>
              <w:right w:val="single" w:sz="4" w:space="0" w:color="auto"/>
            </w:tcBorders>
            <w:shd w:val="clear" w:color="auto" w:fill="auto"/>
            <w:vAlign w:val="center"/>
            <w:hideMark/>
          </w:tcPr>
          <w:p w14:paraId="67EF5EB3" w14:textId="00B23E45" w:rsidR="00B01E8A" w:rsidRPr="00B01E8A" w:rsidRDefault="00B01E8A" w:rsidP="00B01E8A">
            <w:pPr>
              <w:spacing w:after="0" w:line="240" w:lineRule="auto"/>
              <w:rPr>
                <w:rFonts w:ascii="Times New Roman" w:eastAsia="Times New Roman" w:hAnsi="Times New Roman" w:cs="Times New Roman"/>
                <w:i/>
                <w:iCs/>
                <w:color w:val="000000"/>
                <w:sz w:val="20"/>
                <w:szCs w:val="20"/>
                <w:lang w:eastAsia="sk-SK"/>
              </w:rPr>
            </w:pPr>
            <w:r w:rsidRPr="00B01E8A">
              <w:rPr>
                <w:rFonts w:ascii="Times New Roman" w:hAnsi="Times New Roman" w:cs="Times New Roman"/>
                <w:i/>
                <w:iCs/>
                <w:color w:val="000000"/>
                <w:sz w:val="20"/>
                <w:szCs w:val="20"/>
              </w:rPr>
              <w:t>VÝPOČET PRAVIDLA 1in2out:</w:t>
            </w:r>
          </w:p>
        </w:tc>
        <w:tc>
          <w:tcPr>
            <w:tcW w:w="1880" w:type="dxa"/>
            <w:tcBorders>
              <w:top w:val="single" w:sz="8" w:space="0" w:color="auto"/>
              <w:left w:val="nil"/>
              <w:bottom w:val="single" w:sz="4" w:space="0" w:color="auto"/>
              <w:right w:val="single" w:sz="4" w:space="0" w:color="auto"/>
            </w:tcBorders>
            <w:shd w:val="clear" w:color="000000" w:fill="FFC000"/>
            <w:vAlign w:val="center"/>
            <w:hideMark/>
          </w:tcPr>
          <w:p w14:paraId="6510F46F" w14:textId="44786D60" w:rsidR="00B01E8A" w:rsidRPr="00B01E8A" w:rsidRDefault="00B01E8A" w:rsidP="00B01E8A">
            <w:pPr>
              <w:spacing w:after="0" w:line="240" w:lineRule="auto"/>
              <w:jc w:val="center"/>
              <w:rPr>
                <w:rFonts w:ascii="Times New Roman" w:eastAsia="Times New Roman" w:hAnsi="Times New Roman" w:cs="Times New Roman"/>
                <w:b/>
                <w:bCs/>
                <w:color w:val="000000"/>
                <w:sz w:val="20"/>
                <w:szCs w:val="20"/>
                <w:lang w:eastAsia="sk-SK"/>
              </w:rPr>
            </w:pPr>
            <w:r w:rsidRPr="00B01E8A">
              <w:rPr>
                <w:rFonts w:ascii="Times New Roman" w:hAnsi="Times New Roman" w:cs="Times New Roman"/>
                <w:b/>
                <w:bCs/>
                <w:color w:val="000000"/>
                <w:sz w:val="20"/>
                <w:szCs w:val="20"/>
              </w:rPr>
              <w:t>IN</w:t>
            </w:r>
          </w:p>
        </w:tc>
        <w:tc>
          <w:tcPr>
            <w:tcW w:w="1880" w:type="dxa"/>
            <w:tcBorders>
              <w:top w:val="single" w:sz="8" w:space="0" w:color="auto"/>
              <w:left w:val="nil"/>
              <w:bottom w:val="single" w:sz="4" w:space="0" w:color="auto"/>
              <w:right w:val="single" w:sz="8" w:space="0" w:color="auto"/>
            </w:tcBorders>
            <w:shd w:val="clear" w:color="000000" w:fill="92D050"/>
            <w:vAlign w:val="center"/>
            <w:hideMark/>
          </w:tcPr>
          <w:p w14:paraId="567E2662" w14:textId="7CE1C050" w:rsidR="00B01E8A" w:rsidRPr="00B01E8A" w:rsidRDefault="00B01E8A" w:rsidP="00B01E8A">
            <w:pPr>
              <w:spacing w:after="0" w:line="240" w:lineRule="auto"/>
              <w:jc w:val="center"/>
              <w:rPr>
                <w:rFonts w:ascii="Times New Roman" w:eastAsia="Times New Roman" w:hAnsi="Times New Roman" w:cs="Times New Roman"/>
                <w:b/>
                <w:bCs/>
                <w:color w:val="000000"/>
                <w:sz w:val="20"/>
                <w:szCs w:val="20"/>
                <w:lang w:eastAsia="sk-SK"/>
              </w:rPr>
            </w:pPr>
            <w:r w:rsidRPr="00B01E8A">
              <w:rPr>
                <w:rFonts w:ascii="Times New Roman" w:hAnsi="Times New Roman" w:cs="Times New Roman"/>
                <w:b/>
                <w:bCs/>
                <w:color w:val="000000"/>
                <w:sz w:val="20"/>
                <w:szCs w:val="20"/>
              </w:rPr>
              <w:t>OUT</w:t>
            </w:r>
          </w:p>
        </w:tc>
      </w:tr>
      <w:tr w:rsidR="00B01E8A" w:rsidRPr="00965670" w14:paraId="0F7524FF" w14:textId="77777777" w:rsidTr="008342BB">
        <w:trPr>
          <w:trHeight w:val="345"/>
        </w:trPr>
        <w:tc>
          <w:tcPr>
            <w:tcW w:w="4540" w:type="dxa"/>
            <w:tcBorders>
              <w:top w:val="nil"/>
              <w:left w:val="single" w:sz="8" w:space="0" w:color="auto"/>
              <w:bottom w:val="single" w:sz="8" w:space="0" w:color="auto"/>
              <w:right w:val="single" w:sz="4" w:space="0" w:color="auto"/>
            </w:tcBorders>
            <w:shd w:val="clear" w:color="auto" w:fill="auto"/>
            <w:vAlign w:val="center"/>
            <w:hideMark/>
          </w:tcPr>
          <w:p w14:paraId="6EC524C6" w14:textId="20768E5A" w:rsidR="00B01E8A" w:rsidRPr="00B01E8A" w:rsidRDefault="00B01E8A" w:rsidP="00B01E8A">
            <w:pPr>
              <w:spacing w:after="0" w:line="240" w:lineRule="auto"/>
              <w:rPr>
                <w:rFonts w:ascii="Times New Roman" w:eastAsia="Times New Roman" w:hAnsi="Times New Roman" w:cs="Times New Roman"/>
                <w:i/>
                <w:iCs/>
                <w:color w:val="000000"/>
                <w:sz w:val="20"/>
                <w:szCs w:val="20"/>
                <w:lang w:eastAsia="sk-SK"/>
              </w:rPr>
            </w:pPr>
            <w:r w:rsidRPr="00B01E8A">
              <w:rPr>
                <w:rFonts w:ascii="Times New Roman" w:hAnsi="Times New Roman" w:cs="Times New Roman"/>
                <w:i/>
                <w:iCs/>
                <w:color w:val="000000"/>
                <w:sz w:val="20"/>
                <w:szCs w:val="20"/>
              </w:rPr>
              <w:t>H</w:t>
            </w:r>
            <w:r w:rsidRPr="00B01E8A">
              <w:rPr>
                <w:rFonts w:ascii="Times New Roman" w:hAnsi="Times New Roman" w:cs="Times New Roman"/>
                <w:b/>
                <w:bCs/>
                <w:i/>
                <w:iCs/>
                <w:color w:val="000000"/>
                <w:sz w:val="20"/>
                <w:szCs w:val="20"/>
              </w:rPr>
              <w:t>.</w:t>
            </w:r>
            <w:r w:rsidRPr="00B01E8A">
              <w:rPr>
                <w:rFonts w:ascii="Times New Roman" w:hAnsi="Times New Roman" w:cs="Times New Roman"/>
                <w:i/>
                <w:iCs/>
                <w:color w:val="000000"/>
                <w:sz w:val="20"/>
                <w:szCs w:val="20"/>
              </w:rPr>
              <w:t xml:space="preserve"> Náklady okrem výnimiek = B+D+E-F</w:t>
            </w:r>
          </w:p>
        </w:tc>
        <w:tc>
          <w:tcPr>
            <w:tcW w:w="1880" w:type="dxa"/>
            <w:tcBorders>
              <w:top w:val="nil"/>
              <w:left w:val="nil"/>
              <w:bottom w:val="single" w:sz="8" w:space="0" w:color="auto"/>
              <w:right w:val="single" w:sz="4" w:space="0" w:color="auto"/>
            </w:tcBorders>
            <w:shd w:val="clear" w:color="000000" w:fill="FFC000"/>
            <w:vAlign w:val="center"/>
            <w:hideMark/>
          </w:tcPr>
          <w:p w14:paraId="1C20AD41" w14:textId="4F48B922" w:rsidR="00B01E8A" w:rsidRPr="00B01E8A" w:rsidRDefault="00B01E8A" w:rsidP="00B01E8A">
            <w:pPr>
              <w:spacing w:after="0" w:line="240" w:lineRule="auto"/>
              <w:jc w:val="center"/>
              <w:rPr>
                <w:rFonts w:ascii="Times New Roman" w:eastAsia="Times New Roman" w:hAnsi="Times New Roman" w:cs="Times New Roman"/>
                <w:b/>
                <w:bCs/>
                <w:color w:val="000000"/>
                <w:sz w:val="20"/>
                <w:szCs w:val="20"/>
                <w:lang w:eastAsia="sk-SK"/>
              </w:rPr>
            </w:pPr>
            <w:r w:rsidRPr="00B01E8A">
              <w:rPr>
                <w:rFonts w:ascii="Times New Roman" w:hAnsi="Times New Roman" w:cs="Times New Roman"/>
                <w:b/>
                <w:bCs/>
                <w:color w:val="000000"/>
                <w:sz w:val="20"/>
                <w:szCs w:val="20"/>
              </w:rPr>
              <w:t>8 513 531</w:t>
            </w:r>
          </w:p>
        </w:tc>
        <w:tc>
          <w:tcPr>
            <w:tcW w:w="1880" w:type="dxa"/>
            <w:tcBorders>
              <w:top w:val="nil"/>
              <w:left w:val="nil"/>
              <w:bottom w:val="single" w:sz="8" w:space="0" w:color="auto"/>
              <w:right w:val="single" w:sz="8" w:space="0" w:color="auto"/>
            </w:tcBorders>
            <w:shd w:val="clear" w:color="000000" w:fill="92D050"/>
            <w:vAlign w:val="center"/>
            <w:hideMark/>
          </w:tcPr>
          <w:p w14:paraId="2CA34AB1" w14:textId="15E22A0E" w:rsidR="00B01E8A" w:rsidRPr="00B01E8A" w:rsidRDefault="00B01E8A" w:rsidP="00B01E8A">
            <w:pPr>
              <w:spacing w:after="0" w:line="240" w:lineRule="auto"/>
              <w:jc w:val="center"/>
              <w:rPr>
                <w:rFonts w:ascii="Times New Roman" w:eastAsia="Times New Roman" w:hAnsi="Times New Roman" w:cs="Times New Roman"/>
                <w:b/>
                <w:bCs/>
                <w:color w:val="000000"/>
                <w:sz w:val="20"/>
                <w:szCs w:val="20"/>
                <w:lang w:eastAsia="sk-SK"/>
              </w:rPr>
            </w:pPr>
            <w:r w:rsidRPr="00B01E8A">
              <w:rPr>
                <w:rFonts w:ascii="Times New Roman" w:hAnsi="Times New Roman" w:cs="Times New Roman"/>
                <w:b/>
                <w:bCs/>
                <w:color w:val="000000"/>
                <w:sz w:val="20"/>
                <w:szCs w:val="20"/>
              </w:rPr>
              <w:t>9 650 695</w:t>
            </w:r>
          </w:p>
        </w:tc>
      </w:tr>
    </w:tbl>
    <w:p w14:paraId="37E7F962" w14:textId="77777777" w:rsidR="007B0C81" w:rsidRPr="00EE6D8E" w:rsidRDefault="007B0C81" w:rsidP="00054C41">
      <w:pPr>
        <w:rPr>
          <w:rFonts w:ascii="Times New Roman" w:eastAsia="Calibri" w:hAnsi="Times New Roman" w:cs="Times New Roman"/>
          <w:b/>
          <w:sz w:val="24"/>
          <w:szCs w:val="24"/>
        </w:rPr>
        <w:sectPr w:rsidR="007B0C81" w:rsidRPr="00EE6D8E" w:rsidSect="00142154">
          <w:footerReference w:type="default" r:id="rId10"/>
          <w:pgSz w:w="11906" w:h="16838"/>
          <w:pgMar w:top="993" w:right="1417" w:bottom="1417" w:left="1417" w:header="708" w:footer="708" w:gutter="0"/>
          <w:pgNumType w:start="1"/>
          <w:cols w:space="708"/>
          <w:docGrid w:linePitch="360"/>
        </w:sectPr>
      </w:pPr>
    </w:p>
    <w:p w14:paraId="29CDFA2A" w14:textId="77777777" w:rsidR="00054C41" w:rsidRPr="00EE6D8E" w:rsidRDefault="00054C41" w:rsidP="00054C41">
      <w:pPr>
        <w:rPr>
          <w:rFonts w:ascii="Times New Roman" w:eastAsia="Calibri" w:hAnsi="Times New Roman" w:cs="Times New Roman"/>
          <w:b/>
          <w:i/>
          <w:iCs/>
          <w:sz w:val="24"/>
          <w:szCs w:val="24"/>
        </w:rPr>
      </w:pPr>
      <w:r w:rsidRPr="00EE6D8E">
        <w:rPr>
          <w:rFonts w:ascii="Times New Roman" w:eastAsia="Calibri" w:hAnsi="Times New Roman" w:cs="Times New Roman"/>
          <w:b/>
          <w:i/>
          <w:iCs/>
          <w:sz w:val="24"/>
          <w:szCs w:val="24"/>
        </w:rPr>
        <w:lastRenderedPageBreak/>
        <w:t>3.1.2 Výpočty vplyvov jednotlivých regulácií na zmeny v nákladoch podnikateľov</w:t>
      </w:r>
      <w:r w:rsidRPr="00EE6D8E">
        <w:rPr>
          <w:rFonts w:ascii="Times New Roman" w:eastAsia="Calibri" w:hAnsi="Times New Roman" w:cs="Times New Roman"/>
          <w:i/>
          <w:sz w:val="24"/>
          <w:szCs w:val="24"/>
        </w:rPr>
        <w:tab/>
      </w:r>
      <w:r w:rsidRPr="00EE6D8E">
        <w:rPr>
          <w:rFonts w:ascii="Times New Roman" w:eastAsia="Calibri" w:hAnsi="Times New Roman" w:cs="Times New Roman"/>
          <w:i/>
          <w:sz w:val="24"/>
          <w:szCs w:val="24"/>
        </w:rPr>
        <w:tab/>
      </w:r>
      <w:r w:rsidRPr="00EE6D8E">
        <w:rPr>
          <w:rFonts w:ascii="Times New Roman" w:eastAsia="Calibri" w:hAnsi="Times New Roman" w:cs="Times New Roman"/>
          <w:i/>
          <w:sz w:val="24"/>
          <w:szCs w:val="24"/>
        </w:rPr>
        <w:tab/>
      </w:r>
      <w:r w:rsidRPr="00EE6D8E">
        <w:rPr>
          <w:rFonts w:ascii="Times New Roman" w:eastAsia="Calibri" w:hAnsi="Times New Roman" w:cs="Times New Roman"/>
          <w:i/>
          <w:sz w:val="24"/>
          <w:szCs w:val="24"/>
        </w:rPr>
        <w:tab/>
      </w:r>
      <w:r w:rsidRPr="00EE6D8E">
        <w:rPr>
          <w:rFonts w:ascii="Times New Roman" w:eastAsia="Calibri" w:hAnsi="Times New Roman" w:cs="Times New Roman"/>
          <w:i/>
          <w:sz w:val="24"/>
          <w:szCs w:val="24"/>
        </w:rPr>
        <w:tab/>
      </w:r>
      <w:r w:rsidRPr="00EE6D8E">
        <w:rPr>
          <w:rFonts w:ascii="Times New Roman" w:eastAsia="Calibri" w:hAnsi="Times New Roman" w:cs="Times New Roman"/>
          <w:i/>
          <w:sz w:val="24"/>
          <w:szCs w:val="24"/>
        </w:rPr>
        <w:tab/>
      </w:r>
      <w:r w:rsidRPr="00EE6D8E">
        <w:rPr>
          <w:rFonts w:ascii="Times New Roman" w:eastAsia="Calibri" w:hAnsi="Times New Roman" w:cs="Times New Roman"/>
          <w:i/>
          <w:sz w:val="24"/>
          <w:szCs w:val="24"/>
        </w:rPr>
        <w:tab/>
      </w:r>
      <w:r w:rsidRPr="00EE6D8E">
        <w:rPr>
          <w:rFonts w:ascii="Times New Roman" w:eastAsia="Calibri" w:hAnsi="Times New Roman" w:cs="Times New Roman"/>
          <w:i/>
          <w:sz w:val="24"/>
          <w:szCs w:val="24"/>
        </w:rPr>
        <w:tab/>
      </w:r>
    </w:p>
    <w:p w14:paraId="5E02E2DD" w14:textId="77777777" w:rsidR="00054C41" w:rsidRPr="00EE6D8E" w:rsidRDefault="00054C41" w:rsidP="00054C41">
      <w:pPr>
        <w:jc w:val="both"/>
        <w:rPr>
          <w:rFonts w:ascii="Times New Roman" w:eastAsia="Calibri" w:hAnsi="Times New Roman" w:cs="Times New Roman"/>
          <w:i/>
          <w:sz w:val="24"/>
          <w:szCs w:val="24"/>
        </w:rPr>
      </w:pPr>
      <w:r w:rsidRPr="00EE6D8E">
        <w:rPr>
          <w:rFonts w:ascii="Times New Roman" w:eastAsia="Calibri" w:hAnsi="Times New Roman" w:cs="Times New Roman"/>
          <w:i/>
          <w:sz w:val="24"/>
          <w:szCs w:val="24"/>
        </w:rPr>
        <w:t>Tabuľka č. 2: Výpočet vplyvov jednotlivých regulácií (nahraďte rovnakou tabuľkou po vyplnení Kalkulačky nákladov):</w:t>
      </w:r>
    </w:p>
    <w:tbl>
      <w:tblPr>
        <w:tblW w:w="13951" w:type="dxa"/>
        <w:tblInd w:w="-556" w:type="dxa"/>
        <w:tblLayout w:type="fixed"/>
        <w:tblCellMar>
          <w:left w:w="70" w:type="dxa"/>
          <w:right w:w="70" w:type="dxa"/>
        </w:tblCellMar>
        <w:tblLook w:val="04A0" w:firstRow="1" w:lastRow="0" w:firstColumn="1" w:lastColumn="0" w:noHBand="0" w:noVBand="1"/>
      </w:tblPr>
      <w:tblGrid>
        <w:gridCol w:w="446"/>
        <w:gridCol w:w="1740"/>
        <w:gridCol w:w="992"/>
        <w:gridCol w:w="1134"/>
        <w:gridCol w:w="1843"/>
        <w:gridCol w:w="992"/>
        <w:gridCol w:w="1160"/>
        <w:gridCol w:w="1108"/>
        <w:gridCol w:w="851"/>
        <w:gridCol w:w="843"/>
        <w:gridCol w:w="1000"/>
        <w:gridCol w:w="708"/>
        <w:gridCol w:w="1134"/>
      </w:tblGrid>
      <w:tr w:rsidR="009A0103" w:rsidRPr="00EE6D8E" w14:paraId="58E6573D" w14:textId="77777777" w:rsidTr="00751DA9">
        <w:trPr>
          <w:trHeight w:val="255"/>
        </w:trPr>
        <w:tc>
          <w:tcPr>
            <w:tcW w:w="446"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2FC62EAC" w14:textId="2093F878" w:rsidR="009A0103" w:rsidRPr="00EE6D8E" w:rsidRDefault="009A0103" w:rsidP="009A0103">
            <w:pPr>
              <w:spacing w:after="0" w:line="240" w:lineRule="auto"/>
              <w:jc w:val="center"/>
              <w:rPr>
                <w:rFonts w:ascii="Times New Roman" w:eastAsia="Times New Roman" w:hAnsi="Times New Roman" w:cs="Times New Roman"/>
                <w:b/>
                <w:bCs/>
                <w:color w:val="000000"/>
                <w:sz w:val="24"/>
                <w:szCs w:val="24"/>
                <w:lang w:eastAsia="sk-SK"/>
              </w:rPr>
            </w:pPr>
            <w:proofErr w:type="spellStart"/>
            <w:r w:rsidRPr="00EE6D8E">
              <w:rPr>
                <w:rFonts w:ascii="Times New Roman" w:hAnsi="Times New Roman" w:cs="Times New Roman"/>
                <w:b/>
                <w:bCs/>
                <w:color w:val="000000"/>
                <w:sz w:val="20"/>
                <w:szCs w:val="20"/>
              </w:rPr>
              <w:t>P.č</w:t>
            </w:r>
            <w:proofErr w:type="spellEnd"/>
            <w:r w:rsidRPr="00EE6D8E">
              <w:rPr>
                <w:rFonts w:ascii="Times New Roman" w:hAnsi="Times New Roman" w:cs="Times New Roman"/>
                <w:b/>
                <w:bCs/>
                <w:color w:val="000000"/>
                <w:sz w:val="20"/>
                <w:szCs w:val="20"/>
              </w:rPr>
              <w:t>.</w:t>
            </w:r>
          </w:p>
        </w:tc>
        <w:tc>
          <w:tcPr>
            <w:tcW w:w="1740"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60F95606" w14:textId="5E214773" w:rsidR="009A0103" w:rsidRPr="00EE6D8E" w:rsidRDefault="009A0103" w:rsidP="009A0103">
            <w:pPr>
              <w:spacing w:after="0" w:line="240" w:lineRule="auto"/>
              <w:jc w:val="center"/>
              <w:rPr>
                <w:rFonts w:ascii="Times New Roman" w:eastAsia="Times New Roman" w:hAnsi="Times New Roman" w:cs="Times New Roman"/>
                <w:b/>
                <w:bCs/>
                <w:color w:val="000000"/>
                <w:sz w:val="24"/>
                <w:szCs w:val="24"/>
                <w:lang w:eastAsia="sk-SK"/>
              </w:rPr>
            </w:pPr>
            <w:r w:rsidRPr="00EE6D8E">
              <w:rPr>
                <w:rFonts w:ascii="Times New Roman" w:hAnsi="Times New Roman" w:cs="Times New Roman"/>
                <w:b/>
                <w:bCs/>
                <w:color w:val="000000"/>
                <w:sz w:val="20"/>
                <w:szCs w:val="20"/>
              </w:rPr>
              <w:t xml:space="preserve">Zrozumiteľný a stručný opis regulácie </w:t>
            </w:r>
            <w:r w:rsidRPr="00EE6D8E">
              <w:rPr>
                <w:rFonts w:ascii="Times New Roman" w:hAnsi="Times New Roman" w:cs="Times New Roman"/>
                <w:b/>
                <w:bCs/>
                <w:color w:val="000000"/>
                <w:sz w:val="20"/>
                <w:szCs w:val="20"/>
              </w:rPr>
              <w:br/>
              <w:t xml:space="preserve">(dôvod zvýšenia/zníženia nákladov na PP a dôvod ponechania nákladov na PP, ktoré </w:t>
            </w:r>
            <w:proofErr w:type="spellStart"/>
            <w:r w:rsidRPr="00EE6D8E">
              <w:rPr>
                <w:rFonts w:ascii="Times New Roman" w:hAnsi="Times New Roman" w:cs="Times New Roman"/>
                <w:b/>
                <w:bCs/>
                <w:color w:val="000000"/>
                <w:sz w:val="20"/>
                <w:szCs w:val="20"/>
              </w:rPr>
              <w:t>su</w:t>
            </w:r>
            <w:proofErr w:type="spellEnd"/>
            <w:r w:rsidRPr="00EE6D8E">
              <w:rPr>
                <w:rFonts w:ascii="Times New Roman" w:hAnsi="Times New Roman" w:cs="Times New Roman"/>
                <w:b/>
                <w:bCs/>
                <w:color w:val="000000"/>
                <w:sz w:val="20"/>
                <w:szCs w:val="20"/>
              </w:rPr>
              <w:t xml:space="preserve"> </w:t>
            </w:r>
            <w:proofErr w:type="spellStart"/>
            <w:r w:rsidRPr="00EE6D8E">
              <w:rPr>
                <w:rFonts w:ascii="Times New Roman" w:hAnsi="Times New Roman" w:cs="Times New Roman"/>
                <w:b/>
                <w:bCs/>
                <w:color w:val="000000"/>
                <w:sz w:val="20"/>
                <w:szCs w:val="20"/>
              </w:rPr>
              <w:t>goldplatingom</w:t>
            </w:r>
            <w:proofErr w:type="spellEnd"/>
            <w:r w:rsidRPr="00EE6D8E">
              <w:rPr>
                <w:rFonts w:ascii="Times New Roman" w:hAnsi="Times New Roman" w:cs="Times New Roman"/>
                <w:b/>
                <w:bCs/>
                <w:color w:val="000000"/>
                <w:sz w:val="20"/>
                <w:szCs w:val="20"/>
              </w:rPr>
              <w:t>)</w:t>
            </w:r>
          </w:p>
        </w:tc>
        <w:tc>
          <w:tcPr>
            <w:tcW w:w="992" w:type="dxa"/>
            <w:tcBorders>
              <w:top w:val="single" w:sz="4" w:space="0" w:color="auto"/>
              <w:left w:val="single" w:sz="4" w:space="0" w:color="auto"/>
              <w:bottom w:val="single" w:sz="4" w:space="0" w:color="000000"/>
              <w:right w:val="single" w:sz="4" w:space="0" w:color="auto"/>
            </w:tcBorders>
            <w:shd w:val="clear" w:color="auto" w:fill="D0CECE" w:themeFill="background2" w:themeFillShade="E6"/>
            <w:vAlign w:val="center"/>
            <w:hideMark/>
          </w:tcPr>
          <w:p w14:paraId="58660057" w14:textId="61DAFB1E" w:rsidR="009A0103" w:rsidRPr="00EE6D8E" w:rsidRDefault="009A0103" w:rsidP="009A0103">
            <w:pPr>
              <w:spacing w:after="0" w:line="240" w:lineRule="auto"/>
              <w:jc w:val="center"/>
              <w:rPr>
                <w:rFonts w:ascii="Times New Roman" w:eastAsia="Times New Roman" w:hAnsi="Times New Roman" w:cs="Times New Roman"/>
                <w:b/>
                <w:bCs/>
                <w:color w:val="000000"/>
                <w:sz w:val="24"/>
                <w:szCs w:val="24"/>
                <w:lang w:eastAsia="sk-SK"/>
              </w:rPr>
            </w:pPr>
            <w:r w:rsidRPr="00EE6D8E">
              <w:rPr>
                <w:rFonts w:ascii="Times New Roman" w:hAnsi="Times New Roman" w:cs="Times New Roman"/>
                <w:b/>
                <w:bCs/>
                <w:color w:val="000000"/>
                <w:sz w:val="20"/>
                <w:szCs w:val="20"/>
              </w:rPr>
              <w:t>Číslo normy</w:t>
            </w:r>
            <w:r w:rsidRPr="00EE6D8E">
              <w:rPr>
                <w:rFonts w:ascii="Times New Roman" w:hAnsi="Times New Roman" w:cs="Times New Roman"/>
                <w:b/>
                <w:bCs/>
                <w:color w:val="000000"/>
                <w:sz w:val="20"/>
                <w:szCs w:val="20"/>
              </w:rPr>
              <w:br/>
            </w:r>
            <w:r w:rsidRPr="00EE6D8E">
              <w:rPr>
                <w:rFonts w:ascii="Times New Roman" w:hAnsi="Times New Roman" w:cs="Times New Roman"/>
                <w:color w:val="000000"/>
                <w:sz w:val="20"/>
                <w:szCs w:val="20"/>
              </w:rPr>
              <w:t>(zákona, vyhlášky a pod.)</w:t>
            </w:r>
          </w:p>
        </w:tc>
        <w:tc>
          <w:tcPr>
            <w:tcW w:w="1134" w:type="dxa"/>
            <w:tcBorders>
              <w:top w:val="single" w:sz="4" w:space="0" w:color="auto"/>
              <w:left w:val="single" w:sz="4" w:space="0" w:color="auto"/>
              <w:bottom w:val="single" w:sz="4" w:space="0" w:color="000000"/>
              <w:right w:val="single" w:sz="4" w:space="0" w:color="auto"/>
            </w:tcBorders>
            <w:shd w:val="clear" w:color="auto" w:fill="D0CECE" w:themeFill="background2" w:themeFillShade="E6"/>
            <w:vAlign w:val="center"/>
            <w:hideMark/>
          </w:tcPr>
          <w:p w14:paraId="5C27F37A" w14:textId="497C270E" w:rsidR="009A0103" w:rsidRPr="00EE6D8E" w:rsidRDefault="009A0103" w:rsidP="009A0103">
            <w:pPr>
              <w:spacing w:after="0" w:line="240" w:lineRule="auto"/>
              <w:jc w:val="center"/>
              <w:rPr>
                <w:rFonts w:ascii="Times New Roman" w:eastAsia="Times New Roman" w:hAnsi="Times New Roman" w:cs="Times New Roman"/>
                <w:b/>
                <w:bCs/>
                <w:color w:val="000000"/>
                <w:sz w:val="24"/>
                <w:szCs w:val="24"/>
                <w:lang w:eastAsia="sk-SK"/>
              </w:rPr>
            </w:pPr>
            <w:r w:rsidRPr="00EE6D8E">
              <w:rPr>
                <w:rFonts w:ascii="Times New Roman" w:hAnsi="Times New Roman" w:cs="Times New Roman"/>
                <w:b/>
                <w:bCs/>
                <w:color w:val="000000"/>
                <w:sz w:val="20"/>
                <w:szCs w:val="20"/>
              </w:rPr>
              <w:t>Lokalizácia</w:t>
            </w:r>
            <w:r w:rsidRPr="00EE6D8E">
              <w:rPr>
                <w:rFonts w:ascii="Times New Roman" w:hAnsi="Times New Roman" w:cs="Times New Roman"/>
                <w:b/>
                <w:bCs/>
                <w:color w:val="000000"/>
                <w:sz w:val="20"/>
                <w:szCs w:val="20"/>
              </w:rPr>
              <w:br/>
              <w:t>(§, ods., čl.,...)</w:t>
            </w:r>
          </w:p>
        </w:tc>
        <w:tc>
          <w:tcPr>
            <w:tcW w:w="1843"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3EFBCFFC" w14:textId="1C769745" w:rsidR="009A0103" w:rsidRPr="00EE6D8E" w:rsidRDefault="009A0103" w:rsidP="009A0103">
            <w:pPr>
              <w:spacing w:after="0" w:line="240" w:lineRule="auto"/>
              <w:jc w:val="center"/>
              <w:rPr>
                <w:rFonts w:ascii="Times New Roman" w:eastAsia="Times New Roman" w:hAnsi="Times New Roman" w:cs="Times New Roman"/>
                <w:b/>
                <w:bCs/>
                <w:color w:val="000000"/>
                <w:sz w:val="24"/>
                <w:szCs w:val="24"/>
                <w:lang w:eastAsia="sk-SK"/>
              </w:rPr>
            </w:pPr>
            <w:r w:rsidRPr="00EE6D8E">
              <w:rPr>
                <w:rFonts w:ascii="Times New Roman" w:hAnsi="Times New Roman" w:cs="Times New Roman"/>
                <w:b/>
                <w:bCs/>
                <w:color w:val="000000"/>
                <w:sz w:val="20"/>
                <w:szCs w:val="20"/>
              </w:rPr>
              <w:t xml:space="preserve">Pôvod regulácie: </w:t>
            </w:r>
            <w:r w:rsidRPr="00EE6D8E">
              <w:rPr>
                <w:rFonts w:ascii="Times New Roman" w:hAnsi="Times New Roman" w:cs="Times New Roman"/>
                <w:b/>
                <w:bCs/>
                <w:color w:val="000000"/>
                <w:sz w:val="20"/>
                <w:szCs w:val="20"/>
              </w:rPr>
              <w:br/>
            </w:r>
            <w:r w:rsidRPr="00EE6D8E">
              <w:rPr>
                <w:rFonts w:ascii="Times New Roman" w:hAnsi="Times New Roman" w:cs="Times New Roman"/>
                <w:color w:val="000000"/>
                <w:sz w:val="20"/>
                <w:szCs w:val="20"/>
              </w:rPr>
              <w:t xml:space="preserve">SK/EÚ úplná </w:t>
            </w:r>
            <w:proofErr w:type="spellStart"/>
            <w:r w:rsidRPr="00EE6D8E">
              <w:rPr>
                <w:rFonts w:ascii="Times New Roman" w:hAnsi="Times New Roman" w:cs="Times New Roman"/>
                <w:color w:val="000000"/>
                <w:sz w:val="20"/>
                <w:szCs w:val="20"/>
              </w:rPr>
              <w:t>harm</w:t>
            </w:r>
            <w:proofErr w:type="spellEnd"/>
            <w:r w:rsidRPr="00EE6D8E">
              <w:rPr>
                <w:rFonts w:ascii="Times New Roman" w:hAnsi="Times New Roman" w:cs="Times New Roman"/>
                <w:color w:val="000000"/>
                <w:sz w:val="20"/>
                <w:szCs w:val="20"/>
              </w:rPr>
              <w:t>./</w:t>
            </w:r>
            <w:r w:rsidRPr="00EE6D8E">
              <w:rPr>
                <w:rFonts w:ascii="Times New Roman" w:hAnsi="Times New Roman" w:cs="Times New Roman"/>
                <w:color w:val="000000"/>
                <w:sz w:val="20"/>
                <w:szCs w:val="20"/>
              </w:rPr>
              <w:br/>
            </w:r>
            <w:proofErr w:type="spellStart"/>
            <w:r w:rsidRPr="00EE6D8E">
              <w:rPr>
                <w:rFonts w:ascii="Times New Roman" w:hAnsi="Times New Roman" w:cs="Times New Roman"/>
                <w:color w:val="000000"/>
                <w:sz w:val="20"/>
                <w:szCs w:val="20"/>
              </w:rPr>
              <w:t>goldplating</w:t>
            </w:r>
            <w:proofErr w:type="spellEnd"/>
          </w:p>
        </w:tc>
        <w:tc>
          <w:tcPr>
            <w:tcW w:w="992"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5D66C838" w14:textId="71EF24FD" w:rsidR="009A0103" w:rsidRPr="00EE6D8E" w:rsidRDefault="009A0103" w:rsidP="009A0103">
            <w:pPr>
              <w:spacing w:after="0" w:line="240" w:lineRule="auto"/>
              <w:jc w:val="center"/>
              <w:rPr>
                <w:rFonts w:ascii="Times New Roman" w:eastAsia="Times New Roman" w:hAnsi="Times New Roman" w:cs="Times New Roman"/>
                <w:b/>
                <w:bCs/>
                <w:color w:val="000000"/>
                <w:sz w:val="24"/>
                <w:szCs w:val="24"/>
                <w:lang w:eastAsia="sk-SK"/>
              </w:rPr>
            </w:pPr>
            <w:r w:rsidRPr="00EE6D8E">
              <w:rPr>
                <w:rFonts w:ascii="Times New Roman" w:hAnsi="Times New Roman" w:cs="Times New Roman"/>
                <w:b/>
                <w:bCs/>
                <w:color w:val="000000"/>
                <w:sz w:val="20"/>
                <w:szCs w:val="20"/>
              </w:rPr>
              <w:t>Účinnosť regulácie</w:t>
            </w:r>
          </w:p>
        </w:tc>
        <w:tc>
          <w:tcPr>
            <w:tcW w:w="1160"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4B1BE5BC" w14:textId="65A9DE10" w:rsidR="009A0103" w:rsidRPr="00EE6D8E" w:rsidRDefault="009A0103" w:rsidP="009A0103">
            <w:pPr>
              <w:spacing w:after="0" w:line="240" w:lineRule="auto"/>
              <w:jc w:val="center"/>
              <w:rPr>
                <w:rFonts w:ascii="Times New Roman" w:eastAsia="Times New Roman" w:hAnsi="Times New Roman" w:cs="Times New Roman"/>
                <w:b/>
                <w:bCs/>
                <w:color w:val="000000"/>
                <w:sz w:val="24"/>
                <w:szCs w:val="24"/>
                <w:lang w:eastAsia="sk-SK"/>
              </w:rPr>
            </w:pPr>
            <w:r w:rsidRPr="00EE6D8E">
              <w:rPr>
                <w:rFonts w:ascii="Times New Roman" w:hAnsi="Times New Roman" w:cs="Times New Roman"/>
                <w:b/>
                <w:bCs/>
                <w:color w:val="000000"/>
                <w:sz w:val="20"/>
                <w:szCs w:val="20"/>
              </w:rPr>
              <w:t xml:space="preserve">Kategória </w:t>
            </w:r>
            <w:proofErr w:type="spellStart"/>
            <w:r w:rsidRPr="00EE6D8E">
              <w:rPr>
                <w:rFonts w:ascii="Times New Roman" w:hAnsi="Times New Roman" w:cs="Times New Roman"/>
                <w:b/>
                <w:bCs/>
                <w:color w:val="000000"/>
                <w:sz w:val="20"/>
                <w:szCs w:val="20"/>
              </w:rPr>
              <w:t>dotk</w:t>
            </w:r>
            <w:proofErr w:type="spellEnd"/>
            <w:r w:rsidRPr="00EE6D8E">
              <w:rPr>
                <w:rFonts w:ascii="Times New Roman" w:hAnsi="Times New Roman" w:cs="Times New Roman"/>
                <w:b/>
                <w:bCs/>
                <w:color w:val="000000"/>
                <w:sz w:val="20"/>
                <w:szCs w:val="20"/>
              </w:rPr>
              <w:t>. subjektov</w:t>
            </w:r>
          </w:p>
        </w:tc>
        <w:tc>
          <w:tcPr>
            <w:tcW w:w="1108"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7A177F6E" w14:textId="11743C27" w:rsidR="009A0103" w:rsidRPr="00EE6D8E" w:rsidRDefault="009A0103" w:rsidP="009A0103">
            <w:pPr>
              <w:spacing w:after="0" w:line="240" w:lineRule="auto"/>
              <w:jc w:val="center"/>
              <w:rPr>
                <w:rFonts w:ascii="Times New Roman" w:eastAsia="Times New Roman" w:hAnsi="Times New Roman" w:cs="Times New Roman"/>
                <w:b/>
                <w:bCs/>
                <w:color w:val="000000"/>
                <w:sz w:val="24"/>
                <w:szCs w:val="24"/>
                <w:lang w:eastAsia="sk-SK"/>
              </w:rPr>
            </w:pPr>
            <w:r w:rsidRPr="00EE6D8E">
              <w:rPr>
                <w:rFonts w:ascii="Times New Roman" w:hAnsi="Times New Roman" w:cs="Times New Roman"/>
                <w:b/>
                <w:bCs/>
                <w:color w:val="000000"/>
                <w:sz w:val="20"/>
                <w:szCs w:val="20"/>
              </w:rPr>
              <w:t xml:space="preserve">Počet </w:t>
            </w:r>
            <w:proofErr w:type="spellStart"/>
            <w:r w:rsidRPr="00EE6D8E">
              <w:rPr>
                <w:rFonts w:ascii="Times New Roman" w:hAnsi="Times New Roman" w:cs="Times New Roman"/>
                <w:b/>
                <w:bCs/>
                <w:color w:val="000000"/>
                <w:sz w:val="20"/>
                <w:szCs w:val="20"/>
              </w:rPr>
              <w:t>dotk</w:t>
            </w:r>
            <w:proofErr w:type="spellEnd"/>
            <w:r w:rsidRPr="00EE6D8E">
              <w:rPr>
                <w:rFonts w:ascii="Times New Roman" w:hAnsi="Times New Roman" w:cs="Times New Roman"/>
                <w:b/>
                <w:bCs/>
                <w:color w:val="000000"/>
                <w:sz w:val="20"/>
                <w:szCs w:val="20"/>
              </w:rPr>
              <w:t xml:space="preserve">. subjektov spolu </w:t>
            </w:r>
          </w:p>
        </w:tc>
        <w:tc>
          <w:tcPr>
            <w:tcW w:w="851"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7280914C" w14:textId="7A41248A" w:rsidR="009A0103" w:rsidRPr="00EE6D8E" w:rsidRDefault="009A0103" w:rsidP="009A0103">
            <w:pPr>
              <w:spacing w:after="0" w:line="240" w:lineRule="auto"/>
              <w:jc w:val="center"/>
              <w:rPr>
                <w:rFonts w:ascii="Times New Roman" w:eastAsia="Times New Roman" w:hAnsi="Times New Roman" w:cs="Times New Roman"/>
                <w:b/>
                <w:bCs/>
                <w:color w:val="000000"/>
                <w:sz w:val="24"/>
                <w:szCs w:val="24"/>
                <w:lang w:eastAsia="sk-SK"/>
              </w:rPr>
            </w:pPr>
            <w:r w:rsidRPr="00EE6D8E">
              <w:rPr>
                <w:rFonts w:ascii="Times New Roman" w:hAnsi="Times New Roman" w:cs="Times New Roman"/>
                <w:b/>
                <w:bCs/>
                <w:color w:val="000000"/>
                <w:sz w:val="20"/>
                <w:szCs w:val="20"/>
              </w:rPr>
              <w:t>Vplyv na 1 podnik. v €</w:t>
            </w:r>
          </w:p>
        </w:tc>
        <w:tc>
          <w:tcPr>
            <w:tcW w:w="843"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49531801" w14:textId="686FDD24" w:rsidR="009A0103" w:rsidRPr="00EE6D8E" w:rsidRDefault="009A0103" w:rsidP="009A0103">
            <w:pPr>
              <w:spacing w:after="0" w:line="240" w:lineRule="auto"/>
              <w:jc w:val="center"/>
              <w:rPr>
                <w:rFonts w:ascii="Times New Roman" w:eastAsia="Times New Roman" w:hAnsi="Times New Roman" w:cs="Times New Roman"/>
                <w:b/>
                <w:bCs/>
                <w:color w:val="000000"/>
                <w:sz w:val="24"/>
                <w:szCs w:val="24"/>
                <w:lang w:eastAsia="sk-SK"/>
              </w:rPr>
            </w:pPr>
            <w:r w:rsidRPr="00EE6D8E">
              <w:rPr>
                <w:rFonts w:ascii="Times New Roman" w:hAnsi="Times New Roman" w:cs="Times New Roman"/>
                <w:b/>
                <w:bCs/>
                <w:color w:val="000000"/>
                <w:sz w:val="20"/>
                <w:szCs w:val="20"/>
              </w:rPr>
              <w:t xml:space="preserve">Vplyv na kategóriu </w:t>
            </w:r>
            <w:proofErr w:type="spellStart"/>
            <w:r w:rsidRPr="00EE6D8E">
              <w:rPr>
                <w:rFonts w:ascii="Times New Roman" w:hAnsi="Times New Roman" w:cs="Times New Roman"/>
                <w:b/>
                <w:bCs/>
                <w:color w:val="000000"/>
                <w:sz w:val="20"/>
                <w:szCs w:val="20"/>
              </w:rPr>
              <w:t>dotk</w:t>
            </w:r>
            <w:proofErr w:type="spellEnd"/>
            <w:r w:rsidRPr="00EE6D8E">
              <w:rPr>
                <w:rFonts w:ascii="Times New Roman" w:hAnsi="Times New Roman" w:cs="Times New Roman"/>
                <w:b/>
                <w:bCs/>
                <w:color w:val="000000"/>
                <w:sz w:val="20"/>
                <w:szCs w:val="20"/>
              </w:rPr>
              <w:t>. subjektov v €</w:t>
            </w:r>
          </w:p>
        </w:tc>
        <w:tc>
          <w:tcPr>
            <w:tcW w:w="1000"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70438D04" w14:textId="20FEDD28" w:rsidR="009A0103" w:rsidRPr="00EE6D8E" w:rsidRDefault="009A0103" w:rsidP="009A0103">
            <w:pPr>
              <w:spacing w:after="0" w:line="240" w:lineRule="auto"/>
              <w:jc w:val="center"/>
              <w:rPr>
                <w:rFonts w:ascii="Times New Roman" w:eastAsia="Times New Roman" w:hAnsi="Times New Roman" w:cs="Times New Roman"/>
                <w:b/>
                <w:bCs/>
                <w:color w:val="000000"/>
                <w:sz w:val="24"/>
                <w:szCs w:val="24"/>
                <w:lang w:eastAsia="sk-SK"/>
              </w:rPr>
            </w:pPr>
            <w:r w:rsidRPr="00EE6D8E">
              <w:rPr>
                <w:rFonts w:ascii="Times New Roman" w:hAnsi="Times New Roman" w:cs="Times New Roman"/>
                <w:b/>
                <w:bCs/>
                <w:color w:val="000000"/>
                <w:sz w:val="20"/>
                <w:szCs w:val="20"/>
              </w:rPr>
              <w:t>Druh vplyvu</w:t>
            </w:r>
            <w:r w:rsidRPr="00EE6D8E">
              <w:rPr>
                <w:rFonts w:ascii="Times New Roman" w:hAnsi="Times New Roman" w:cs="Times New Roman"/>
                <w:b/>
                <w:bCs/>
                <w:color w:val="000000"/>
                <w:sz w:val="20"/>
                <w:szCs w:val="20"/>
              </w:rPr>
              <w:br/>
            </w:r>
            <w:r w:rsidRPr="00EE6D8E">
              <w:rPr>
                <w:rFonts w:ascii="Times New Roman" w:hAnsi="Times New Roman" w:cs="Times New Roman"/>
                <w:color w:val="000000"/>
                <w:sz w:val="20"/>
                <w:szCs w:val="20"/>
              </w:rPr>
              <w:t xml:space="preserve">In (zvyšuje náklady) / </w:t>
            </w:r>
            <w:r w:rsidRPr="00EE6D8E">
              <w:rPr>
                <w:rFonts w:ascii="Times New Roman" w:hAnsi="Times New Roman" w:cs="Times New Roman"/>
                <w:color w:val="000000"/>
                <w:sz w:val="20"/>
                <w:szCs w:val="20"/>
              </w:rPr>
              <w:br/>
            </w:r>
            <w:proofErr w:type="spellStart"/>
            <w:r w:rsidRPr="00EE6D8E">
              <w:rPr>
                <w:rFonts w:ascii="Times New Roman" w:hAnsi="Times New Roman" w:cs="Times New Roman"/>
                <w:color w:val="000000"/>
                <w:sz w:val="20"/>
                <w:szCs w:val="20"/>
              </w:rPr>
              <w:t>Out</w:t>
            </w:r>
            <w:proofErr w:type="spellEnd"/>
            <w:r w:rsidRPr="00EE6D8E">
              <w:rPr>
                <w:rFonts w:ascii="Times New Roman" w:hAnsi="Times New Roman" w:cs="Times New Roman"/>
                <w:color w:val="000000"/>
                <w:sz w:val="20"/>
                <w:szCs w:val="20"/>
              </w:rPr>
              <w:t xml:space="preserve"> (znižuje náklady) / Nemení sa</w:t>
            </w:r>
          </w:p>
        </w:tc>
        <w:tc>
          <w:tcPr>
            <w:tcW w:w="708"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29F533F5" w14:textId="2B62EF15" w:rsidR="009A0103" w:rsidRPr="00EE6D8E" w:rsidRDefault="009A0103" w:rsidP="009A0103">
            <w:pPr>
              <w:spacing w:after="0" w:line="240" w:lineRule="auto"/>
              <w:jc w:val="center"/>
              <w:rPr>
                <w:rFonts w:ascii="Times New Roman" w:eastAsia="Times New Roman" w:hAnsi="Times New Roman" w:cs="Times New Roman"/>
                <w:b/>
                <w:bCs/>
                <w:color w:val="000000"/>
                <w:sz w:val="24"/>
                <w:szCs w:val="24"/>
                <w:lang w:eastAsia="sk-SK"/>
              </w:rPr>
            </w:pPr>
            <w:r w:rsidRPr="00EE6D8E">
              <w:rPr>
                <w:rFonts w:ascii="Times New Roman" w:hAnsi="Times New Roman" w:cs="Times New Roman"/>
                <w:b/>
                <w:bCs/>
                <w:color w:val="000000"/>
                <w:sz w:val="20"/>
                <w:szCs w:val="20"/>
              </w:rPr>
              <w:t xml:space="preserve">1in2out </w:t>
            </w:r>
            <w:r w:rsidRPr="00EE6D8E">
              <w:rPr>
                <w:rFonts w:ascii="Times New Roman" w:hAnsi="Times New Roman" w:cs="Times New Roman"/>
                <w:b/>
                <w:bCs/>
                <w:color w:val="000000"/>
                <w:sz w:val="20"/>
                <w:szCs w:val="20"/>
              </w:rPr>
              <w:br/>
              <w:t>celkom</w:t>
            </w:r>
          </w:p>
        </w:tc>
        <w:tc>
          <w:tcPr>
            <w:tcW w:w="1134"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3ED6FE4B" w14:textId="38627FE0" w:rsidR="009A0103" w:rsidRPr="00EE6D8E" w:rsidRDefault="009A0103" w:rsidP="009A0103">
            <w:pPr>
              <w:spacing w:after="0" w:line="240" w:lineRule="auto"/>
              <w:jc w:val="center"/>
              <w:rPr>
                <w:rFonts w:ascii="Times New Roman" w:eastAsia="Times New Roman" w:hAnsi="Times New Roman" w:cs="Times New Roman"/>
                <w:b/>
                <w:bCs/>
                <w:color w:val="000000"/>
                <w:sz w:val="24"/>
                <w:szCs w:val="24"/>
                <w:lang w:eastAsia="sk-SK"/>
              </w:rPr>
            </w:pPr>
            <w:proofErr w:type="spellStart"/>
            <w:r w:rsidRPr="00EE6D8E">
              <w:rPr>
                <w:rFonts w:ascii="Times New Roman" w:hAnsi="Times New Roman" w:cs="Times New Roman"/>
                <w:b/>
                <w:bCs/>
                <w:color w:val="000000"/>
                <w:sz w:val="20"/>
                <w:szCs w:val="20"/>
              </w:rPr>
              <w:t>Goldplating</w:t>
            </w:r>
            <w:proofErr w:type="spellEnd"/>
            <w:r w:rsidRPr="00EE6D8E">
              <w:rPr>
                <w:rFonts w:ascii="Times New Roman" w:hAnsi="Times New Roman" w:cs="Times New Roman"/>
                <w:b/>
                <w:bCs/>
                <w:color w:val="000000"/>
                <w:sz w:val="20"/>
                <w:szCs w:val="20"/>
              </w:rPr>
              <w:t xml:space="preserve"> celkom</w:t>
            </w:r>
          </w:p>
        </w:tc>
      </w:tr>
      <w:tr w:rsidR="00B01E8A" w:rsidRPr="002A6716" w14:paraId="1405C81C" w14:textId="77777777" w:rsidTr="00E47467">
        <w:trPr>
          <w:trHeight w:val="255"/>
        </w:trPr>
        <w:tc>
          <w:tcPr>
            <w:tcW w:w="446" w:type="dxa"/>
            <w:tcBorders>
              <w:top w:val="single" w:sz="4" w:space="0" w:color="auto"/>
              <w:left w:val="single" w:sz="4" w:space="0" w:color="auto"/>
              <w:bottom w:val="single" w:sz="4" w:space="0" w:color="auto"/>
              <w:right w:val="single" w:sz="4" w:space="0" w:color="auto"/>
            </w:tcBorders>
            <w:shd w:val="clear" w:color="auto" w:fill="auto"/>
            <w:vAlign w:val="center"/>
          </w:tcPr>
          <w:p w14:paraId="7CF6020A" w14:textId="3C9E40CA" w:rsidR="00B01E8A" w:rsidRPr="00B01E8A" w:rsidRDefault="00B01E8A" w:rsidP="00B01E8A">
            <w:pPr>
              <w:spacing w:after="0" w:line="240" w:lineRule="auto"/>
              <w:jc w:val="center"/>
              <w:rPr>
                <w:rFonts w:ascii="Times New Roman" w:hAnsi="Times New Roman" w:cs="Times New Roman"/>
                <w:bCs/>
                <w:color w:val="000000"/>
                <w:sz w:val="20"/>
                <w:szCs w:val="20"/>
              </w:rPr>
            </w:pPr>
            <w:r w:rsidRPr="00B01E8A">
              <w:rPr>
                <w:rFonts w:ascii="Times New Roman" w:hAnsi="Times New Roman" w:cs="Times New Roman"/>
                <w:color w:val="000000"/>
                <w:sz w:val="20"/>
                <w:szCs w:val="20"/>
              </w:rPr>
              <w:t>1</w:t>
            </w:r>
          </w:p>
        </w:tc>
        <w:tc>
          <w:tcPr>
            <w:tcW w:w="1740" w:type="dxa"/>
            <w:tcBorders>
              <w:top w:val="single" w:sz="4" w:space="0" w:color="auto"/>
              <w:left w:val="single" w:sz="4" w:space="0" w:color="auto"/>
              <w:bottom w:val="single" w:sz="4" w:space="0" w:color="auto"/>
              <w:right w:val="single" w:sz="4" w:space="0" w:color="auto"/>
            </w:tcBorders>
            <w:shd w:val="clear" w:color="auto" w:fill="auto"/>
            <w:vAlign w:val="center"/>
          </w:tcPr>
          <w:p w14:paraId="04B93F16" w14:textId="0C3BF201" w:rsidR="00B01E8A" w:rsidRPr="00B01E8A" w:rsidRDefault="00B01E8A" w:rsidP="00B01E8A">
            <w:pPr>
              <w:spacing w:after="0" w:line="240" w:lineRule="auto"/>
              <w:jc w:val="center"/>
              <w:rPr>
                <w:rFonts w:ascii="Times New Roman" w:hAnsi="Times New Roman" w:cs="Times New Roman"/>
                <w:bCs/>
                <w:color w:val="000000"/>
                <w:sz w:val="20"/>
                <w:szCs w:val="20"/>
              </w:rPr>
            </w:pPr>
            <w:r w:rsidRPr="00B01E8A">
              <w:rPr>
                <w:rFonts w:ascii="Times New Roman" w:hAnsi="Times New Roman" w:cs="Times New Roman"/>
                <w:color w:val="000000"/>
                <w:sz w:val="20"/>
                <w:szCs w:val="20"/>
              </w:rPr>
              <w:t>Oboznámenie sa so zmenami</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1B5CF6F" w14:textId="44698284" w:rsidR="00B01E8A" w:rsidRPr="00B01E8A" w:rsidRDefault="00B01E8A" w:rsidP="00B01E8A">
            <w:pPr>
              <w:spacing w:after="0" w:line="240" w:lineRule="auto"/>
              <w:jc w:val="center"/>
              <w:rPr>
                <w:rFonts w:ascii="Times New Roman" w:hAnsi="Times New Roman" w:cs="Times New Roman"/>
                <w:bCs/>
                <w:color w:val="000000"/>
                <w:sz w:val="20"/>
                <w:szCs w:val="20"/>
              </w:rPr>
            </w:pPr>
            <w:r w:rsidRPr="00B01E8A">
              <w:rPr>
                <w:rFonts w:ascii="Times New Roman" w:hAnsi="Times New Roman" w:cs="Times New Roman"/>
                <w:color w:val="000000"/>
                <w:sz w:val="20"/>
                <w:szCs w:val="20"/>
              </w:rPr>
              <w:t>OZ</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6E3C81D" w14:textId="7E395FC2" w:rsidR="00B01E8A" w:rsidRPr="00B01E8A" w:rsidRDefault="00B01E8A" w:rsidP="00B01E8A">
            <w:pPr>
              <w:spacing w:after="0" w:line="240" w:lineRule="auto"/>
              <w:jc w:val="center"/>
              <w:rPr>
                <w:rFonts w:ascii="Times New Roman" w:hAnsi="Times New Roman" w:cs="Times New Roman"/>
                <w:bCs/>
                <w:color w:val="000000"/>
                <w:sz w:val="20"/>
                <w:szCs w:val="20"/>
              </w:rPr>
            </w:pPr>
            <w:r>
              <w:rPr>
                <w:rFonts w:ascii="Times New Roman" w:hAnsi="Times New Roman" w:cs="Times New Roman"/>
                <w:color w:val="000000"/>
                <w:sz w:val="20"/>
                <w:szCs w:val="20"/>
              </w:rPr>
              <w:t>celý návrh</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2B80E4DE" w14:textId="4D514F27" w:rsidR="00B01E8A" w:rsidRPr="00B01E8A" w:rsidRDefault="00B01E8A" w:rsidP="00B01E8A">
            <w:pPr>
              <w:spacing w:after="0" w:line="240" w:lineRule="auto"/>
              <w:jc w:val="center"/>
              <w:rPr>
                <w:rFonts w:ascii="Times New Roman" w:hAnsi="Times New Roman" w:cs="Times New Roman"/>
                <w:bCs/>
                <w:color w:val="000000"/>
                <w:sz w:val="20"/>
                <w:szCs w:val="20"/>
              </w:rPr>
            </w:pPr>
            <w:r w:rsidRPr="00B01E8A">
              <w:rPr>
                <w:rFonts w:ascii="Times New Roman" w:hAnsi="Times New Roman" w:cs="Times New Roman"/>
                <w:color w:val="000000"/>
                <w:sz w:val="20"/>
                <w:szCs w:val="20"/>
              </w:rPr>
              <w:t>1.SK</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AD8D472" w14:textId="67EEA70C" w:rsidR="00B01E8A" w:rsidRPr="00B01E8A" w:rsidRDefault="00B01E8A" w:rsidP="00B01E8A">
            <w:pPr>
              <w:spacing w:after="0" w:line="240" w:lineRule="auto"/>
              <w:jc w:val="center"/>
              <w:rPr>
                <w:rFonts w:ascii="Times New Roman" w:hAnsi="Times New Roman" w:cs="Times New Roman"/>
                <w:bCs/>
                <w:color w:val="000000"/>
                <w:sz w:val="20"/>
                <w:szCs w:val="20"/>
              </w:rPr>
            </w:pPr>
            <w:r w:rsidRPr="00B01E8A">
              <w:rPr>
                <w:rFonts w:ascii="Times New Roman" w:hAnsi="Times New Roman" w:cs="Times New Roman"/>
                <w:color w:val="000000"/>
                <w:sz w:val="20"/>
                <w:szCs w:val="20"/>
              </w:rPr>
              <w:t>-</w:t>
            </w:r>
          </w:p>
        </w:tc>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14:paraId="3B5ACAF1" w14:textId="036E83E8" w:rsidR="00B01E8A" w:rsidRPr="00B01E8A" w:rsidRDefault="00B01E8A" w:rsidP="00B01E8A">
            <w:pPr>
              <w:spacing w:after="0" w:line="240" w:lineRule="auto"/>
              <w:jc w:val="center"/>
              <w:rPr>
                <w:rFonts w:ascii="Times New Roman" w:hAnsi="Times New Roman" w:cs="Times New Roman"/>
                <w:bCs/>
                <w:color w:val="000000"/>
                <w:sz w:val="20"/>
                <w:szCs w:val="20"/>
              </w:rPr>
            </w:pPr>
            <w:r w:rsidRPr="00B01E8A">
              <w:rPr>
                <w:rFonts w:ascii="Times New Roman" w:hAnsi="Times New Roman" w:cs="Times New Roman"/>
                <w:color w:val="000000"/>
                <w:sz w:val="20"/>
                <w:szCs w:val="20"/>
              </w:rPr>
              <w:t>všetky podnikateľské subjekty</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25285BDD" w14:textId="0C827AAB" w:rsidR="00B01E8A" w:rsidRPr="00B01E8A" w:rsidRDefault="00B01E8A" w:rsidP="00B01E8A">
            <w:pPr>
              <w:spacing w:after="0" w:line="240" w:lineRule="auto"/>
              <w:jc w:val="center"/>
              <w:rPr>
                <w:rFonts w:ascii="Times New Roman" w:hAnsi="Times New Roman" w:cs="Times New Roman"/>
                <w:bCs/>
                <w:color w:val="000000"/>
                <w:sz w:val="20"/>
                <w:szCs w:val="20"/>
              </w:rPr>
            </w:pPr>
            <w:r w:rsidRPr="00B01E8A">
              <w:rPr>
                <w:rFonts w:ascii="Times New Roman" w:hAnsi="Times New Roman" w:cs="Times New Roman"/>
                <w:color w:val="000000"/>
                <w:sz w:val="20"/>
                <w:szCs w:val="20"/>
              </w:rPr>
              <w:t xml:space="preserve">        700 000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858FEBC" w14:textId="574CD494" w:rsidR="00B01E8A" w:rsidRPr="00B01E8A" w:rsidRDefault="00B01E8A" w:rsidP="00B01E8A">
            <w:pPr>
              <w:spacing w:after="0" w:line="240" w:lineRule="auto"/>
              <w:jc w:val="center"/>
              <w:rPr>
                <w:rFonts w:ascii="Times New Roman" w:hAnsi="Times New Roman" w:cs="Times New Roman"/>
                <w:bCs/>
                <w:color w:val="000000"/>
                <w:sz w:val="20"/>
                <w:szCs w:val="20"/>
              </w:rPr>
            </w:pPr>
            <w:r w:rsidRPr="00B01E8A">
              <w:rPr>
                <w:rFonts w:ascii="Times New Roman" w:hAnsi="Times New Roman" w:cs="Times New Roman"/>
                <w:color w:val="000000"/>
                <w:sz w:val="20"/>
                <w:szCs w:val="20"/>
              </w:rPr>
              <w:t>12</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93136C8" w14:textId="19BE0AFC" w:rsidR="00B01E8A" w:rsidRPr="00B01E8A" w:rsidRDefault="00B01E8A" w:rsidP="00B01E8A">
            <w:pPr>
              <w:spacing w:after="0" w:line="240" w:lineRule="auto"/>
              <w:jc w:val="center"/>
              <w:rPr>
                <w:rFonts w:ascii="Times New Roman" w:hAnsi="Times New Roman" w:cs="Times New Roman"/>
                <w:bCs/>
                <w:color w:val="000000"/>
                <w:sz w:val="20"/>
                <w:szCs w:val="20"/>
              </w:rPr>
            </w:pPr>
            <w:r w:rsidRPr="00B01E8A">
              <w:rPr>
                <w:rFonts w:ascii="Times New Roman" w:hAnsi="Times New Roman" w:cs="Times New Roman"/>
                <w:color w:val="000000"/>
                <w:sz w:val="20"/>
                <w:szCs w:val="20"/>
              </w:rPr>
              <w:t>8 513 531</w:t>
            </w:r>
          </w:p>
        </w:tc>
        <w:tc>
          <w:tcPr>
            <w:tcW w:w="1000" w:type="dxa"/>
            <w:tcBorders>
              <w:top w:val="single" w:sz="4" w:space="0" w:color="auto"/>
              <w:left w:val="single" w:sz="4" w:space="0" w:color="auto"/>
              <w:bottom w:val="single" w:sz="4" w:space="0" w:color="auto"/>
              <w:right w:val="single" w:sz="4" w:space="0" w:color="auto"/>
            </w:tcBorders>
            <w:shd w:val="clear" w:color="auto" w:fill="auto"/>
            <w:vAlign w:val="center"/>
          </w:tcPr>
          <w:p w14:paraId="600F713E" w14:textId="73938DA0" w:rsidR="00B01E8A" w:rsidRPr="00B01E8A" w:rsidRDefault="00B01E8A" w:rsidP="00B01E8A">
            <w:pPr>
              <w:spacing w:after="0" w:line="240" w:lineRule="auto"/>
              <w:jc w:val="center"/>
              <w:rPr>
                <w:rFonts w:ascii="Times New Roman" w:hAnsi="Times New Roman" w:cs="Times New Roman"/>
                <w:bCs/>
                <w:color w:val="000000"/>
                <w:sz w:val="20"/>
                <w:szCs w:val="20"/>
              </w:rPr>
            </w:pPr>
            <w:r w:rsidRPr="00B01E8A">
              <w:rPr>
                <w:rFonts w:ascii="Times New Roman" w:hAnsi="Times New Roman" w:cs="Times New Roman"/>
                <w:color w:val="000000"/>
                <w:sz w:val="20"/>
                <w:szCs w:val="20"/>
              </w:rPr>
              <w:t>In (zvyšuje náklady)</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4B784884" w14:textId="537A8793" w:rsidR="00B01E8A" w:rsidRPr="00B01E8A" w:rsidRDefault="00B01E8A" w:rsidP="00B01E8A">
            <w:pPr>
              <w:spacing w:after="0" w:line="240" w:lineRule="auto"/>
              <w:jc w:val="center"/>
              <w:rPr>
                <w:rFonts w:ascii="Times New Roman" w:hAnsi="Times New Roman" w:cs="Times New Roman"/>
                <w:bCs/>
                <w:color w:val="000000"/>
                <w:sz w:val="20"/>
                <w:szCs w:val="20"/>
              </w:rPr>
            </w:pPr>
            <w:r w:rsidRPr="00B01E8A">
              <w:rPr>
                <w:rFonts w:ascii="Times New Roman" w:hAnsi="Times New Roman" w:cs="Times New Roman"/>
                <w:sz w:val="20"/>
                <w:szCs w:val="20"/>
              </w:rPr>
              <w:t>8 513 531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082C67E" w14:textId="5E94FBE3" w:rsidR="00B01E8A" w:rsidRPr="00BB2880" w:rsidRDefault="00B01E8A" w:rsidP="00B01E8A">
            <w:pPr>
              <w:spacing w:after="0" w:line="240" w:lineRule="auto"/>
              <w:jc w:val="center"/>
              <w:rPr>
                <w:rFonts w:ascii="Times New Roman" w:hAnsi="Times New Roman" w:cs="Times New Roman"/>
                <w:bCs/>
                <w:color w:val="000000"/>
                <w:sz w:val="20"/>
                <w:szCs w:val="20"/>
              </w:rPr>
            </w:pPr>
            <w:r w:rsidRPr="00BB2880">
              <w:rPr>
                <w:rFonts w:ascii="Times New Roman" w:hAnsi="Times New Roman" w:cs="Times New Roman"/>
                <w:color w:val="000000"/>
                <w:sz w:val="20"/>
                <w:szCs w:val="20"/>
              </w:rPr>
              <w:t>0</w:t>
            </w:r>
          </w:p>
        </w:tc>
      </w:tr>
      <w:tr w:rsidR="00B01E8A" w:rsidRPr="002A6716" w14:paraId="2A5779D8" w14:textId="77777777" w:rsidTr="00B01E8A">
        <w:trPr>
          <w:trHeight w:val="255"/>
        </w:trPr>
        <w:tc>
          <w:tcPr>
            <w:tcW w:w="446" w:type="dxa"/>
            <w:tcBorders>
              <w:top w:val="single" w:sz="4" w:space="0" w:color="auto"/>
              <w:left w:val="single" w:sz="4" w:space="0" w:color="auto"/>
              <w:bottom w:val="single" w:sz="4" w:space="0" w:color="auto"/>
              <w:right w:val="single" w:sz="4" w:space="0" w:color="auto"/>
            </w:tcBorders>
            <w:shd w:val="clear" w:color="auto" w:fill="auto"/>
            <w:vAlign w:val="center"/>
          </w:tcPr>
          <w:p w14:paraId="39AAEAD4" w14:textId="60233FE1" w:rsidR="00B01E8A" w:rsidRPr="00B01E8A" w:rsidRDefault="00B01E8A" w:rsidP="00B01E8A">
            <w:pPr>
              <w:spacing w:after="0" w:line="240" w:lineRule="auto"/>
              <w:jc w:val="center"/>
              <w:rPr>
                <w:rFonts w:ascii="Times New Roman" w:hAnsi="Times New Roman" w:cs="Times New Roman"/>
                <w:bCs/>
                <w:color w:val="000000"/>
                <w:sz w:val="20"/>
                <w:szCs w:val="20"/>
              </w:rPr>
            </w:pPr>
            <w:r w:rsidRPr="00B01E8A">
              <w:rPr>
                <w:rFonts w:ascii="Times New Roman" w:hAnsi="Times New Roman" w:cs="Times New Roman"/>
                <w:color w:val="000000"/>
                <w:sz w:val="20"/>
                <w:szCs w:val="20"/>
              </w:rPr>
              <w:t>2</w:t>
            </w:r>
          </w:p>
        </w:tc>
        <w:tc>
          <w:tcPr>
            <w:tcW w:w="1740" w:type="dxa"/>
            <w:tcBorders>
              <w:top w:val="single" w:sz="4" w:space="0" w:color="auto"/>
              <w:left w:val="single" w:sz="4" w:space="0" w:color="auto"/>
              <w:bottom w:val="single" w:sz="4" w:space="0" w:color="auto"/>
              <w:right w:val="single" w:sz="4" w:space="0" w:color="auto"/>
            </w:tcBorders>
            <w:shd w:val="clear" w:color="auto" w:fill="auto"/>
            <w:vAlign w:val="center"/>
          </w:tcPr>
          <w:p w14:paraId="6CFF9D41" w14:textId="6B522EEE" w:rsidR="00B01E8A" w:rsidRPr="00B01E8A" w:rsidRDefault="00B01E8A" w:rsidP="00B01E8A">
            <w:pPr>
              <w:spacing w:after="0" w:line="240" w:lineRule="auto"/>
              <w:jc w:val="center"/>
              <w:rPr>
                <w:rFonts w:ascii="Times New Roman" w:hAnsi="Times New Roman" w:cs="Times New Roman"/>
                <w:bCs/>
                <w:color w:val="000000"/>
                <w:sz w:val="20"/>
                <w:szCs w:val="20"/>
              </w:rPr>
            </w:pPr>
            <w:r w:rsidRPr="00B01E8A">
              <w:rPr>
                <w:rFonts w:ascii="Times New Roman" w:hAnsi="Times New Roman" w:cs="Times New Roman"/>
                <w:color w:val="000000"/>
                <w:sz w:val="20"/>
                <w:szCs w:val="20"/>
              </w:rPr>
              <w:t>Zníženie počtu sporov</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540C971" w14:textId="72F454E3" w:rsidR="00B01E8A" w:rsidRPr="00B01E8A" w:rsidRDefault="00B01E8A" w:rsidP="00B01E8A">
            <w:pPr>
              <w:spacing w:after="0" w:line="240" w:lineRule="auto"/>
              <w:jc w:val="center"/>
              <w:rPr>
                <w:rFonts w:ascii="Times New Roman" w:hAnsi="Times New Roman" w:cs="Times New Roman"/>
                <w:bCs/>
                <w:color w:val="000000"/>
                <w:sz w:val="20"/>
                <w:szCs w:val="20"/>
              </w:rPr>
            </w:pPr>
            <w:r w:rsidRPr="00B01E8A">
              <w:rPr>
                <w:rFonts w:ascii="Times New Roman" w:hAnsi="Times New Roman" w:cs="Times New Roman"/>
                <w:color w:val="000000"/>
                <w:sz w:val="20"/>
                <w:szCs w:val="20"/>
              </w:rPr>
              <w:t>OZ</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17CAD39" w14:textId="7B1322A0" w:rsidR="00B01E8A" w:rsidRPr="00B01E8A" w:rsidRDefault="00B01E8A" w:rsidP="00B01E8A">
            <w:pPr>
              <w:spacing w:after="0" w:line="240" w:lineRule="auto"/>
              <w:jc w:val="center"/>
              <w:rPr>
                <w:rFonts w:ascii="Times New Roman" w:hAnsi="Times New Roman" w:cs="Times New Roman"/>
                <w:bCs/>
                <w:color w:val="000000"/>
                <w:sz w:val="20"/>
                <w:szCs w:val="20"/>
              </w:rPr>
            </w:pPr>
            <w:r>
              <w:rPr>
                <w:rFonts w:ascii="Times New Roman" w:hAnsi="Times New Roman" w:cs="Times New Roman"/>
                <w:color w:val="000000"/>
                <w:sz w:val="20"/>
                <w:szCs w:val="20"/>
              </w:rPr>
              <w:t>celý návrh</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670E2DE2" w14:textId="7A0B5379" w:rsidR="00B01E8A" w:rsidRPr="00B01E8A" w:rsidRDefault="00B01E8A" w:rsidP="00B01E8A">
            <w:pPr>
              <w:spacing w:after="0" w:line="240" w:lineRule="auto"/>
              <w:jc w:val="center"/>
              <w:rPr>
                <w:rFonts w:ascii="Times New Roman" w:hAnsi="Times New Roman" w:cs="Times New Roman"/>
                <w:bCs/>
                <w:color w:val="000000"/>
                <w:sz w:val="20"/>
                <w:szCs w:val="20"/>
              </w:rPr>
            </w:pPr>
            <w:r w:rsidRPr="00B01E8A">
              <w:rPr>
                <w:rFonts w:ascii="Times New Roman" w:hAnsi="Times New Roman" w:cs="Times New Roman"/>
                <w:color w:val="000000"/>
                <w:sz w:val="20"/>
                <w:szCs w:val="20"/>
              </w:rPr>
              <w:t>1.SK</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6033090" w14:textId="30D5D8DA" w:rsidR="00B01E8A" w:rsidRPr="00B01E8A" w:rsidRDefault="00B01E8A" w:rsidP="00B01E8A">
            <w:pPr>
              <w:spacing w:after="0" w:line="240" w:lineRule="auto"/>
              <w:jc w:val="center"/>
              <w:rPr>
                <w:rFonts w:ascii="Times New Roman" w:hAnsi="Times New Roman" w:cs="Times New Roman"/>
                <w:bCs/>
                <w:color w:val="000000"/>
                <w:sz w:val="20"/>
                <w:szCs w:val="20"/>
              </w:rPr>
            </w:pPr>
            <w:r w:rsidRPr="00B01E8A">
              <w:rPr>
                <w:rFonts w:ascii="Times New Roman" w:hAnsi="Times New Roman" w:cs="Times New Roman"/>
                <w:color w:val="000000"/>
                <w:sz w:val="20"/>
                <w:szCs w:val="20"/>
              </w:rPr>
              <w:t>-</w:t>
            </w:r>
          </w:p>
        </w:tc>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14:paraId="636AC8A5" w14:textId="1B2A45A9" w:rsidR="00B01E8A" w:rsidRPr="00B01E8A" w:rsidRDefault="00B01E8A" w:rsidP="00B01E8A">
            <w:pPr>
              <w:spacing w:after="0" w:line="240" w:lineRule="auto"/>
              <w:jc w:val="center"/>
              <w:rPr>
                <w:rFonts w:ascii="Times New Roman" w:hAnsi="Times New Roman" w:cs="Times New Roman"/>
                <w:bCs/>
                <w:color w:val="000000"/>
                <w:sz w:val="20"/>
                <w:szCs w:val="20"/>
              </w:rPr>
            </w:pPr>
            <w:r w:rsidRPr="00B01E8A">
              <w:rPr>
                <w:rFonts w:ascii="Times New Roman" w:hAnsi="Times New Roman" w:cs="Times New Roman"/>
                <w:color w:val="000000"/>
                <w:sz w:val="20"/>
                <w:szCs w:val="20"/>
              </w:rPr>
              <w:t>počet súdnych sporov</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12A054F6" w14:textId="25114900" w:rsidR="00B01E8A" w:rsidRPr="00B01E8A" w:rsidRDefault="00B01E8A" w:rsidP="00B01E8A">
            <w:pPr>
              <w:spacing w:after="0" w:line="240" w:lineRule="auto"/>
              <w:jc w:val="center"/>
              <w:rPr>
                <w:rFonts w:ascii="Times New Roman" w:hAnsi="Times New Roman" w:cs="Times New Roman"/>
                <w:bCs/>
                <w:color w:val="000000"/>
                <w:sz w:val="20"/>
                <w:szCs w:val="20"/>
              </w:rPr>
            </w:pPr>
            <w:r w:rsidRPr="00B01E8A">
              <w:rPr>
                <w:rFonts w:ascii="Times New Roman" w:hAnsi="Times New Roman" w:cs="Times New Roman"/>
                <w:color w:val="000000"/>
                <w:sz w:val="20"/>
                <w:szCs w:val="20"/>
              </w:rPr>
              <w:t xml:space="preserve">          60 000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BE80DE0" w14:textId="26F90428" w:rsidR="00B01E8A" w:rsidRPr="00B01E8A" w:rsidRDefault="00B01E8A" w:rsidP="00B01E8A">
            <w:pPr>
              <w:spacing w:after="0" w:line="240" w:lineRule="auto"/>
              <w:jc w:val="center"/>
              <w:rPr>
                <w:rFonts w:ascii="Times New Roman" w:hAnsi="Times New Roman" w:cs="Times New Roman"/>
                <w:bCs/>
                <w:color w:val="000000"/>
                <w:sz w:val="20"/>
                <w:szCs w:val="20"/>
              </w:rPr>
            </w:pPr>
            <w:r w:rsidRPr="00B01E8A">
              <w:rPr>
                <w:rFonts w:ascii="Times New Roman" w:hAnsi="Times New Roman" w:cs="Times New Roman"/>
                <w:color w:val="000000"/>
                <w:sz w:val="20"/>
                <w:szCs w:val="20"/>
              </w:rPr>
              <w:t>9</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069202C" w14:textId="27932BAE" w:rsidR="00B01E8A" w:rsidRPr="00B01E8A" w:rsidRDefault="00B01E8A" w:rsidP="00B01E8A">
            <w:pPr>
              <w:spacing w:after="0" w:line="240" w:lineRule="auto"/>
              <w:jc w:val="center"/>
              <w:rPr>
                <w:rFonts w:ascii="Times New Roman" w:hAnsi="Times New Roman" w:cs="Times New Roman"/>
                <w:bCs/>
                <w:color w:val="000000"/>
                <w:sz w:val="20"/>
                <w:szCs w:val="20"/>
              </w:rPr>
            </w:pPr>
            <w:r w:rsidRPr="00B01E8A">
              <w:rPr>
                <w:rFonts w:ascii="Times New Roman" w:hAnsi="Times New Roman" w:cs="Times New Roman"/>
                <w:color w:val="000000"/>
                <w:sz w:val="20"/>
                <w:szCs w:val="20"/>
              </w:rPr>
              <w:t>569 595</w:t>
            </w:r>
          </w:p>
        </w:tc>
        <w:tc>
          <w:tcPr>
            <w:tcW w:w="1000" w:type="dxa"/>
            <w:tcBorders>
              <w:top w:val="single" w:sz="4" w:space="0" w:color="auto"/>
              <w:left w:val="single" w:sz="4" w:space="0" w:color="auto"/>
              <w:bottom w:val="single" w:sz="4" w:space="0" w:color="auto"/>
              <w:right w:val="single" w:sz="4" w:space="0" w:color="auto"/>
            </w:tcBorders>
            <w:shd w:val="clear" w:color="auto" w:fill="auto"/>
            <w:vAlign w:val="center"/>
          </w:tcPr>
          <w:p w14:paraId="5C03EAA2" w14:textId="0C95CCF1" w:rsidR="00B01E8A" w:rsidRPr="00B01E8A" w:rsidRDefault="00B01E8A" w:rsidP="00B01E8A">
            <w:pPr>
              <w:spacing w:after="0" w:line="240" w:lineRule="auto"/>
              <w:jc w:val="center"/>
              <w:rPr>
                <w:rFonts w:ascii="Times New Roman" w:hAnsi="Times New Roman" w:cs="Times New Roman"/>
                <w:bCs/>
                <w:color w:val="000000"/>
                <w:sz w:val="20"/>
                <w:szCs w:val="20"/>
              </w:rPr>
            </w:pPr>
            <w:proofErr w:type="spellStart"/>
            <w:r w:rsidRPr="00B01E8A">
              <w:rPr>
                <w:rFonts w:ascii="Times New Roman" w:hAnsi="Times New Roman" w:cs="Times New Roman"/>
                <w:color w:val="000000"/>
                <w:sz w:val="20"/>
                <w:szCs w:val="20"/>
              </w:rPr>
              <w:t>Out</w:t>
            </w:r>
            <w:proofErr w:type="spellEnd"/>
            <w:r w:rsidRPr="00B01E8A">
              <w:rPr>
                <w:rFonts w:ascii="Times New Roman" w:hAnsi="Times New Roman" w:cs="Times New Roman"/>
                <w:color w:val="000000"/>
                <w:sz w:val="20"/>
                <w:szCs w:val="20"/>
              </w:rPr>
              <w:t xml:space="preserve"> (znižuje náklady)</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1D4D40F7" w14:textId="6A61BC2F" w:rsidR="00B01E8A" w:rsidRPr="00B01E8A" w:rsidRDefault="00B01E8A" w:rsidP="00B01E8A">
            <w:pPr>
              <w:spacing w:after="0" w:line="240" w:lineRule="auto"/>
              <w:jc w:val="center"/>
              <w:rPr>
                <w:rFonts w:ascii="Times New Roman" w:hAnsi="Times New Roman" w:cs="Times New Roman"/>
                <w:bCs/>
                <w:color w:val="000000"/>
                <w:sz w:val="20"/>
                <w:szCs w:val="20"/>
              </w:rPr>
            </w:pPr>
            <w:r w:rsidRPr="00B01E8A">
              <w:rPr>
                <w:rFonts w:ascii="Times New Roman" w:hAnsi="Times New Roman" w:cs="Times New Roman"/>
                <w:sz w:val="20"/>
                <w:szCs w:val="20"/>
              </w:rPr>
              <w:t>569 595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7C20C1D" w14:textId="6717E1F1" w:rsidR="00B01E8A" w:rsidRPr="00BB2880" w:rsidRDefault="00B01E8A" w:rsidP="00B01E8A">
            <w:pPr>
              <w:spacing w:after="0" w:line="240" w:lineRule="auto"/>
              <w:jc w:val="center"/>
              <w:rPr>
                <w:rFonts w:ascii="Times New Roman" w:hAnsi="Times New Roman" w:cs="Times New Roman"/>
                <w:bCs/>
                <w:color w:val="000000"/>
                <w:sz w:val="20"/>
                <w:szCs w:val="20"/>
              </w:rPr>
            </w:pPr>
            <w:r w:rsidRPr="00BB2880">
              <w:rPr>
                <w:rFonts w:ascii="Times New Roman" w:hAnsi="Times New Roman" w:cs="Times New Roman"/>
                <w:color w:val="000000"/>
                <w:sz w:val="20"/>
                <w:szCs w:val="20"/>
              </w:rPr>
              <w:t>0</w:t>
            </w:r>
          </w:p>
        </w:tc>
      </w:tr>
      <w:tr w:rsidR="00B01E8A" w:rsidRPr="002A6716" w14:paraId="64E81FCD" w14:textId="77777777" w:rsidTr="0003695E">
        <w:trPr>
          <w:trHeight w:val="255"/>
        </w:trPr>
        <w:tc>
          <w:tcPr>
            <w:tcW w:w="446" w:type="dxa"/>
            <w:tcBorders>
              <w:top w:val="single" w:sz="4" w:space="0" w:color="auto"/>
              <w:left w:val="single" w:sz="4" w:space="0" w:color="auto"/>
              <w:bottom w:val="single" w:sz="4" w:space="0" w:color="auto"/>
              <w:right w:val="single" w:sz="4" w:space="0" w:color="auto"/>
            </w:tcBorders>
            <w:shd w:val="clear" w:color="auto" w:fill="auto"/>
            <w:vAlign w:val="center"/>
          </w:tcPr>
          <w:p w14:paraId="183402AC" w14:textId="427D4585" w:rsidR="00B01E8A" w:rsidRPr="00B01E8A" w:rsidRDefault="00B01E8A" w:rsidP="00B01E8A">
            <w:pPr>
              <w:spacing w:after="0" w:line="240" w:lineRule="auto"/>
              <w:jc w:val="center"/>
              <w:rPr>
                <w:rFonts w:ascii="Times New Roman" w:hAnsi="Times New Roman" w:cs="Times New Roman"/>
                <w:bCs/>
                <w:color w:val="000000"/>
                <w:sz w:val="20"/>
                <w:szCs w:val="20"/>
              </w:rPr>
            </w:pPr>
            <w:r w:rsidRPr="00B01E8A">
              <w:rPr>
                <w:rFonts w:ascii="Times New Roman" w:hAnsi="Times New Roman" w:cs="Times New Roman"/>
                <w:color w:val="000000"/>
                <w:sz w:val="20"/>
                <w:szCs w:val="20"/>
              </w:rPr>
              <w:t>3</w:t>
            </w:r>
          </w:p>
        </w:tc>
        <w:tc>
          <w:tcPr>
            <w:tcW w:w="1740" w:type="dxa"/>
            <w:tcBorders>
              <w:top w:val="single" w:sz="4" w:space="0" w:color="auto"/>
              <w:left w:val="single" w:sz="4" w:space="0" w:color="auto"/>
              <w:bottom w:val="single" w:sz="4" w:space="0" w:color="auto"/>
              <w:right w:val="single" w:sz="4" w:space="0" w:color="auto"/>
            </w:tcBorders>
            <w:shd w:val="clear" w:color="auto" w:fill="auto"/>
            <w:vAlign w:val="center"/>
          </w:tcPr>
          <w:p w14:paraId="1E574ABE" w14:textId="5AE0CF1D" w:rsidR="00B01E8A" w:rsidRPr="00B01E8A" w:rsidRDefault="00B01E8A" w:rsidP="00B01E8A">
            <w:pPr>
              <w:spacing w:after="0" w:line="240" w:lineRule="auto"/>
              <w:jc w:val="center"/>
              <w:rPr>
                <w:rFonts w:ascii="Times New Roman" w:hAnsi="Times New Roman" w:cs="Times New Roman"/>
                <w:color w:val="000000"/>
                <w:sz w:val="20"/>
                <w:szCs w:val="20"/>
              </w:rPr>
            </w:pPr>
            <w:r w:rsidRPr="00B01E8A">
              <w:rPr>
                <w:rFonts w:ascii="Times New Roman" w:hAnsi="Times New Roman" w:cs="Times New Roman"/>
                <w:color w:val="000000"/>
                <w:sz w:val="20"/>
                <w:szCs w:val="20"/>
              </w:rPr>
              <w:t>Úspora času pri preverovaní právnych rizík</w:t>
            </w:r>
          </w:p>
        </w:tc>
        <w:tc>
          <w:tcPr>
            <w:tcW w:w="992" w:type="dxa"/>
            <w:tcBorders>
              <w:top w:val="single" w:sz="4" w:space="0" w:color="auto"/>
              <w:left w:val="single" w:sz="4" w:space="0" w:color="auto"/>
              <w:bottom w:val="single" w:sz="4" w:space="0" w:color="000000"/>
              <w:right w:val="single" w:sz="4" w:space="0" w:color="auto"/>
            </w:tcBorders>
            <w:shd w:val="clear" w:color="auto" w:fill="auto"/>
            <w:vAlign w:val="center"/>
          </w:tcPr>
          <w:p w14:paraId="15DB0EBA" w14:textId="7D767688" w:rsidR="00B01E8A" w:rsidRPr="00B01E8A" w:rsidRDefault="00B01E8A" w:rsidP="00B01E8A">
            <w:pPr>
              <w:spacing w:after="0" w:line="240" w:lineRule="auto"/>
              <w:jc w:val="center"/>
              <w:rPr>
                <w:rFonts w:ascii="Times New Roman" w:hAnsi="Times New Roman" w:cs="Times New Roman"/>
                <w:color w:val="000000"/>
                <w:sz w:val="20"/>
                <w:szCs w:val="20"/>
              </w:rPr>
            </w:pPr>
            <w:r w:rsidRPr="00B01E8A">
              <w:rPr>
                <w:rFonts w:ascii="Times New Roman" w:hAnsi="Times New Roman" w:cs="Times New Roman"/>
                <w:color w:val="000000"/>
                <w:sz w:val="20"/>
                <w:szCs w:val="20"/>
              </w:rPr>
              <w:t>OZ</w:t>
            </w:r>
          </w:p>
        </w:tc>
        <w:tc>
          <w:tcPr>
            <w:tcW w:w="1134" w:type="dxa"/>
            <w:tcBorders>
              <w:top w:val="single" w:sz="4" w:space="0" w:color="auto"/>
              <w:left w:val="single" w:sz="4" w:space="0" w:color="auto"/>
              <w:bottom w:val="single" w:sz="4" w:space="0" w:color="000000"/>
              <w:right w:val="single" w:sz="4" w:space="0" w:color="auto"/>
            </w:tcBorders>
            <w:shd w:val="clear" w:color="auto" w:fill="auto"/>
            <w:vAlign w:val="center"/>
          </w:tcPr>
          <w:p w14:paraId="0FD0B5CA" w14:textId="1F5B0844" w:rsidR="00B01E8A" w:rsidRPr="00B01E8A" w:rsidRDefault="00B01E8A" w:rsidP="00B01E8A">
            <w:pPr>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celý návrh</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54DAAD0B" w14:textId="683EBE49" w:rsidR="00B01E8A" w:rsidRPr="00B01E8A" w:rsidRDefault="00B01E8A" w:rsidP="00B01E8A">
            <w:pPr>
              <w:spacing w:after="0" w:line="240" w:lineRule="auto"/>
              <w:jc w:val="center"/>
              <w:rPr>
                <w:rFonts w:ascii="Times New Roman" w:hAnsi="Times New Roman" w:cs="Times New Roman"/>
                <w:color w:val="000000"/>
                <w:sz w:val="20"/>
                <w:szCs w:val="20"/>
              </w:rPr>
            </w:pPr>
            <w:r w:rsidRPr="00B01E8A">
              <w:rPr>
                <w:rFonts w:ascii="Times New Roman" w:hAnsi="Times New Roman" w:cs="Times New Roman"/>
                <w:color w:val="000000"/>
                <w:sz w:val="20"/>
                <w:szCs w:val="20"/>
              </w:rPr>
              <w:t>1.SK</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42D74B5" w14:textId="4A16D4C7" w:rsidR="00B01E8A" w:rsidRPr="00B01E8A" w:rsidRDefault="00B01E8A" w:rsidP="00B01E8A">
            <w:pPr>
              <w:spacing w:after="0" w:line="240" w:lineRule="auto"/>
              <w:jc w:val="center"/>
              <w:rPr>
                <w:rFonts w:ascii="Times New Roman" w:hAnsi="Times New Roman" w:cs="Times New Roman"/>
                <w:color w:val="000000"/>
                <w:sz w:val="20"/>
                <w:szCs w:val="20"/>
              </w:rPr>
            </w:pPr>
            <w:r w:rsidRPr="00B01E8A">
              <w:rPr>
                <w:rFonts w:ascii="Times New Roman" w:hAnsi="Times New Roman" w:cs="Times New Roman"/>
                <w:color w:val="000000"/>
                <w:sz w:val="20"/>
                <w:szCs w:val="20"/>
              </w:rPr>
              <w:t>-</w:t>
            </w:r>
          </w:p>
        </w:tc>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14:paraId="3EE32B4E" w14:textId="68EDC376" w:rsidR="00B01E8A" w:rsidRPr="00B01E8A" w:rsidRDefault="00B01E8A" w:rsidP="00B01E8A">
            <w:pPr>
              <w:spacing w:after="0" w:line="240" w:lineRule="auto"/>
              <w:jc w:val="center"/>
              <w:rPr>
                <w:rFonts w:ascii="Times New Roman" w:hAnsi="Times New Roman" w:cs="Times New Roman"/>
                <w:color w:val="000000"/>
                <w:sz w:val="20"/>
                <w:szCs w:val="20"/>
              </w:rPr>
            </w:pPr>
            <w:r w:rsidRPr="00B01E8A">
              <w:rPr>
                <w:rFonts w:ascii="Times New Roman" w:hAnsi="Times New Roman" w:cs="Times New Roman"/>
                <w:color w:val="000000"/>
                <w:sz w:val="20"/>
                <w:szCs w:val="20"/>
              </w:rPr>
              <w:t>všetky podnikateľské subjekty</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2C012A3A" w14:textId="047078A9" w:rsidR="00B01E8A" w:rsidRPr="00B01E8A" w:rsidRDefault="00B01E8A" w:rsidP="00B01E8A">
            <w:pPr>
              <w:spacing w:after="0" w:line="240" w:lineRule="auto"/>
              <w:jc w:val="center"/>
              <w:rPr>
                <w:rFonts w:ascii="Times New Roman" w:hAnsi="Times New Roman" w:cs="Times New Roman"/>
                <w:color w:val="000000"/>
                <w:sz w:val="20"/>
                <w:szCs w:val="20"/>
              </w:rPr>
            </w:pPr>
            <w:r w:rsidRPr="00B01E8A">
              <w:rPr>
                <w:rFonts w:ascii="Times New Roman" w:hAnsi="Times New Roman" w:cs="Times New Roman"/>
                <w:color w:val="000000"/>
                <w:sz w:val="20"/>
                <w:szCs w:val="20"/>
              </w:rPr>
              <w:t xml:space="preserve">        700 000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3BDB336" w14:textId="69D1A95C" w:rsidR="00B01E8A" w:rsidRPr="00B01E8A" w:rsidRDefault="00B01E8A" w:rsidP="00B01E8A">
            <w:pPr>
              <w:spacing w:after="0" w:line="240" w:lineRule="auto"/>
              <w:jc w:val="center"/>
              <w:rPr>
                <w:rFonts w:ascii="Times New Roman" w:hAnsi="Times New Roman" w:cs="Times New Roman"/>
                <w:color w:val="000000"/>
                <w:sz w:val="20"/>
                <w:szCs w:val="20"/>
              </w:rPr>
            </w:pPr>
            <w:r w:rsidRPr="00B01E8A">
              <w:rPr>
                <w:rFonts w:ascii="Times New Roman" w:hAnsi="Times New Roman" w:cs="Times New Roman"/>
                <w:color w:val="000000"/>
                <w:sz w:val="20"/>
                <w:szCs w:val="20"/>
              </w:rPr>
              <w:t>13</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F90E4AC" w14:textId="2B5B1094" w:rsidR="00B01E8A" w:rsidRPr="00B01E8A" w:rsidRDefault="00B01E8A" w:rsidP="00B01E8A">
            <w:pPr>
              <w:spacing w:after="0" w:line="240" w:lineRule="auto"/>
              <w:jc w:val="center"/>
              <w:rPr>
                <w:rFonts w:ascii="Times New Roman" w:hAnsi="Times New Roman" w:cs="Times New Roman"/>
                <w:color w:val="000000"/>
                <w:sz w:val="20"/>
                <w:szCs w:val="20"/>
              </w:rPr>
            </w:pPr>
            <w:r w:rsidRPr="00B01E8A">
              <w:rPr>
                <w:rFonts w:ascii="Times New Roman" w:hAnsi="Times New Roman" w:cs="Times New Roman"/>
                <w:color w:val="000000"/>
                <w:sz w:val="20"/>
                <w:szCs w:val="20"/>
              </w:rPr>
              <w:t>9 081 100</w:t>
            </w:r>
          </w:p>
        </w:tc>
        <w:tc>
          <w:tcPr>
            <w:tcW w:w="1000" w:type="dxa"/>
            <w:tcBorders>
              <w:top w:val="single" w:sz="4" w:space="0" w:color="auto"/>
              <w:left w:val="single" w:sz="4" w:space="0" w:color="auto"/>
              <w:bottom w:val="single" w:sz="4" w:space="0" w:color="auto"/>
              <w:right w:val="single" w:sz="4" w:space="0" w:color="auto"/>
            </w:tcBorders>
            <w:shd w:val="clear" w:color="auto" w:fill="auto"/>
            <w:vAlign w:val="center"/>
          </w:tcPr>
          <w:p w14:paraId="54A19451" w14:textId="5F97D5A8" w:rsidR="00B01E8A" w:rsidRPr="00B01E8A" w:rsidRDefault="00B01E8A" w:rsidP="00B01E8A">
            <w:pPr>
              <w:spacing w:after="0" w:line="240" w:lineRule="auto"/>
              <w:jc w:val="center"/>
              <w:rPr>
                <w:rFonts w:ascii="Times New Roman" w:hAnsi="Times New Roman" w:cs="Times New Roman"/>
                <w:color w:val="000000"/>
                <w:sz w:val="20"/>
                <w:szCs w:val="20"/>
              </w:rPr>
            </w:pPr>
            <w:proofErr w:type="spellStart"/>
            <w:r w:rsidRPr="00B01E8A">
              <w:rPr>
                <w:rFonts w:ascii="Times New Roman" w:hAnsi="Times New Roman" w:cs="Times New Roman"/>
                <w:color w:val="000000"/>
                <w:sz w:val="20"/>
                <w:szCs w:val="20"/>
              </w:rPr>
              <w:t>Out</w:t>
            </w:r>
            <w:proofErr w:type="spellEnd"/>
            <w:r w:rsidRPr="00B01E8A">
              <w:rPr>
                <w:rFonts w:ascii="Times New Roman" w:hAnsi="Times New Roman" w:cs="Times New Roman"/>
                <w:color w:val="000000"/>
                <w:sz w:val="20"/>
                <w:szCs w:val="20"/>
              </w:rPr>
              <w:t xml:space="preserve"> (znižuje náklady)</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55C3CE9A" w14:textId="5EEC6A57" w:rsidR="00B01E8A" w:rsidRPr="00B01E8A" w:rsidRDefault="00B01E8A" w:rsidP="00B01E8A">
            <w:pPr>
              <w:spacing w:after="0" w:line="240" w:lineRule="auto"/>
              <w:jc w:val="center"/>
              <w:rPr>
                <w:rFonts w:ascii="Times New Roman" w:hAnsi="Times New Roman" w:cs="Times New Roman"/>
                <w:sz w:val="20"/>
                <w:szCs w:val="20"/>
              </w:rPr>
            </w:pPr>
            <w:r w:rsidRPr="00B01E8A">
              <w:rPr>
                <w:rFonts w:ascii="Times New Roman" w:hAnsi="Times New Roman" w:cs="Times New Roman"/>
                <w:sz w:val="20"/>
                <w:szCs w:val="20"/>
              </w:rPr>
              <w:t>9 081 100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3D9C85B" w14:textId="77777777" w:rsidR="00B01E8A" w:rsidRPr="00BB2880" w:rsidRDefault="00B01E8A" w:rsidP="00B01E8A">
            <w:pPr>
              <w:spacing w:after="0" w:line="240" w:lineRule="auto"/>
              <w:jc w:val="center"/>
              <w:rPr>
                <w:rFonts w:ascii="Times New Roman" w:hAnsi="Times New Roman" w:cs="Times New Roman"/>
                <w:color w:val="000000"/>
                <w:sz w:val="20"/>
                <w:szCs w:val="20"/>
              </w:rPr>
            </w:pPr>
          </w:p>
        </w:tc>
      </w:tr>
    </w:tbl>
    <w:p w14:paraId="798179FB" w14:textId="77777777" w:rsidR="00054C41" w:rsidRPr="00B24EFE" w:rsidRDefault="00054C41" w:rsidP="00054C41">
      <w:pPr>
        <w:jc w:val="both"/>
        <w:rPr>
          <w:rFonts w:ascii="Times New Roman" w:eastAsia="Calibri" w:hAnsi="Times New Roman" w:cs="Times New Roman"/>
          <w:b/>
          <w:bCs/>
          <w:i/>
          <w:sz w:val="24"/>
          <w:szCs w:val="24"/>
        </w:rPr>
        <w:sectPr w:rsidR="00054C41" w:rsidRPr="00B24EFE" w:rsidSect="00142154">
          <w:pgSz w:w="16838" w:h="11906" w:orient="landscape"/>
          <w:pgMar w:top="1417" w:right="1417" w:bottom="1417" w:left="1417" w:header="708" w:footer="708" w:gutter="0"/>
          <w:cols w:space="708"/>
          <w:docGrid w:linePitch="360"/>
        </w:sectPr>
      </w:pPr>
    </w:p>
    <w:p w14:paraId="77318665" w14:textId="77777777" w:rsidR="00054C41" w:rsidRPr="00B24EFE" w:rsidRDefault="00511F8F" w:rsidP="00054C41">
      <w:pPr>
        <w:jc w:val="both"/>
        <w:rPr>
          <w:rFonts w:ascii="Times New Roman" w:eastAsia="Calibri" w:hAnsi="Times New Roman" w:cs="Times New Roman"/>
          <w:b/>
          <w:bCs/>
          <w:i/>
          <w:sz w:val="24"/>
          <w:szCs w:val="24"/>
          <w:u w:val="single"/>
        </w:rPr>
      </w:pPr>
      <w:r w:rsidRPr="00B24EFE">
        <w:rPr>
          <w:rFonts w:ascii="Times New Roman" w:eastAsia="Calibri" w:hAnsi="Times New Roman" w:cs="Times New Roman"/>
          <w:b/>
          <w:bCs/>
          <w:i/>
          <w:sz w:val="24"/>
          <w:szCs w:val="24"/>
          <w:u w:val="single"/>
        </w:rPr>
        <w:lastRenderedPageBreak/>
        <w:t xml:space="preserve">3.1.3 </w:t>
      </w:r>
      <w:r w:rsidR="00054C41" w:rsidRPr="00B24EFE">
        <w:rPr>
          <w:rFonts w:ascii="Times New Roman" w:eastAsia="Calibri" w:hAnsi="Times New Roman" w:cs="Times New Roman"/>
          <w:b/>
          <w:bCs/>
          <w:i/>
          <w:sz w:val="24"/>
          <w:szCs w:val="24"/>
          <w:u w:val="single"/>
        </w:rPr>
        <w:t xml:space="preserve">Doplňujúce informácie k spôsobu výpočtu vplyvov jednotlivých regulácií na zmenu nákladov </w:t>
      </w:r>
    </w:p>
    <w:p w14:paraId="41FDC667" w14:textId="18876BEF" w:rsidR="00054C41" w:rsidRDefault="00054C41" w:rsidP="00054C41">
      <w:pPr>
        <w:jc w:val="both"/>
        <w:rPr>
          <w:rFonts w:ascii="Times New Roman" w:eastAsia="Calibri" w:hAnsi="Times New Roman" w:cs="Times New Roman"/>
          <w:bCs/>
          <w:i/>
          <w:iCs/>
          <w:color w:val="000000"/>
          <w:sz w:val="24"/>
          <w:szCs w:val="24"/>
        </w:rPr>
      </w:pPr>
      <w:r w:rsidRPr="00B24EFE">
        <w:rPr>
          <w:rFonts w:ascii="Times New Roman" w:eastAsia="Calibri" w:hAnsi="Times New Roman" w:cs="Times New Roman"/>
          <w:bCs/>
          <w:i/>
          <w:iCs/>
          <w:color w:val="000000"/>
          <w:sz w:val="24"/>
          <w:szCs w:val="24"/>
        </w:rPr>
        <w:t xml:space="preserve">Osobitne pri každej regulácii s vplyvom na PP zhodnotenom v tabuľke č. 2 uveďte doplňujúce informácie tak, aby mohol byť skontrolovaný spôsob a správnosť výpočtov. Uveďte najmä, ako ste vypočítali vplyvy a z akého zdroja ste čerpali početnosti (uveďte aj </w:t>
      </w:r>
      <w:proofErr w:type="spellStart"/>
      <w:r w:rsidRPr="00B24EFE">
        <w:rPr>
          <w:rFonts w:ascii="Times New Roman" w:eastAsia="Calibri" w:hAnsi="Times New Roman" w:cs="Times New Roman"/>
          <w:bCs/>
          <w:i/>
          <w:iCs/>
          <w:color w:val="000000"/>
          <w:sz w:val="24"/>
          <w:szCs w:val="24"/>
        </w:rPr>
        <w:t>link</w:t>
      </w:r>
      <w:proofErr w:type="spellEnd"/>
      <w:r w:rsidRPr="00B24EFE">
        <w:rPr>
          <w:rFonts w:ascii="Times New Roman" w:eastAsia="Calibri" w:hAnsi="Times New Roman" w:cs="Times New Roman"/>
          <w:bCs/>
          <w:i/>
          <w:iCs/>
          <w:color w:val="000000"/>
          <w:sz w:val="24"/>
          <w:szCs w:val="24"/>
        </w:rPr>
        <w:t xml:space="preserve"> na konkrétne štatistiky, ak sú dostupné na internete). Jednotlivé regulácie môžu mať jeden alebo viac typov nákladov (A. Dane, odvody, clá</w:t>
      </w:r>
      <w:r w:rsidR="00A000DA" w:rsidRPr="00B24EFE">
        <w:rPr>
          <w:rFonts w:ascii="Times New Roman" w:eastAsia="Calibri" w:hAnsi="Times New Roman" w:cs="Times New Roman"/>
          <w:bCs/>
          <w:i/>
          <w:iCs/>
          <w:color w:val="000000"/>
          <w:sz w:val="24"/>
          <w:szCs w:val="24"/>
        </w:rPr>
        <w:t xml:space="preserve"> a poplatky, ktorých cieľom je znižovať negatívne </w:t>
      </w:r>
      <w:proofErr w:type="spellStart"/>
      <w:r w:rsidR="00A000DA" w:rsidRPr="00B24EFE">
        <w:rPr>
          <w:rFonts w:ascii="Times New Roman" w:eastAsia="Calibri" w:hAnsi="Times New Roman" w:cs="Times New Roman"/>
          <w:bCs/>
          <w:i/>
          <w:iCs/>
          <w:color w:val="000000"/>
          <w:sz w:val="24"/>
          <w:szCs w:val="24"/>
        </w:rPr>
        <w:t>externality</w:t>
      </w:r>
      <w:proofErr w:type="spellEnd"/>
      <w:r w:rsidRPr="00B24EFE">
        <w:rPr>
          <w:rFonts w:ascii="Times New Roman" w:eastAsia="Calibri" w:hAnsi="Times New Roman" w:cs="Times New Roman"/>
          <w:bCs/>
          <w:i/>
          <w:iCs/>
          <w:color w:val="000000"/>
          <w:sz w:val="24"/>
          <w:szCs w:val="24"/>
        </w:rPr>
        <w:t xml:space="preserve">, B. </w:t>
      </w:r>
      <w:r w:rsidR="00A000DA" w:rsidRPr="00B24EFE">
        <w:rPr>
          <w:rFonts w:ascii="Times New Roman" w:eastAsia="Calibri" w:hAnsi="Times New Roman" w:cs="Times New Roman"/>
          <w:bCs/>
          <w:i/>
          <w:iCs/>
          <w:color w:val="000000"/>
          <w:sz w:val="24"/>
          <w:szCs w:val="24"/>
        </w:rPr>
        <w:t>Iné p</w:t>
      </w:r>
      <w:r w:rsidRPr="00B24EFE">
        <w:rPr>
          <w:rFonts w:ascii="Times New Roman" w:eastAsia="Calibri" w:hAnsi="Times New Roman" w:cs="Times New Roman"/>
          <w:bCs/>
          <w:i/>
          <w:iCs/>
          <w:color w:val="000000"/>
          <w:sz w:val="24"/>
          <w:szCs w:val="24"/>
        </w:rPr>
        <w:t xml:space="preserve">oplatky, C. </w:t>
      </w:r>
      <w:r w:rsidR="00024EE4" w:rsidRPr="00B24EFE">
        <w:rPr>
          <w:rFonts w:ascii="Times New Roman" w:eastAsia="Calibri" w:hAnsi="Times New Roman" w:cs="Times New Roman"/>
          <w:bCs/>
          <w:i/>
          <w:iCs/>
          <w:color w:val="000000"/>
          <w:sz w:val="24"/>
          <w:szCs w:val="24"/>
        </w:rPr>
        <w:t>Sankcie</w:t>
      </w:r>
      <w:r w:rsidRPr="00B24EFE">
        <w:rPr>
          <w:rFonts w:ascii="Times New Roman" w:eastAsia="Calibri" w:hAnsi="Times New Roman" w:cs="Times New Roman"/>
          <w:bCs/>
          <w:i/>
          <w:iCs/>
          <w:color w:val="000000"/>
          <w:sz w:val="24"/>
          <w:szCs w:val="24"/>
        </w:rPr>
        <w:t xml:space="preserve">, D. </w:t>
      </w:r>
      <w:r w:rsidR="00024EE4" w:rsidRPr="00B24EFE">
        <w:rPr>
          <w:rFonts w:ascii="Times New Roman" w:eastAsia="Calibri" w:hAnsi="Times New Roman" w:cs="Times New Roman"/>
          <w:bCs/>
          <w:i/>
          <w:iCs/>
          <w:color w:val="000000"/>
          <w:sz w:val="24"/>
          <w:szCs w:val="24"/>
        </w:rPr>
        <w:t>Nepriame finančné náklady</w:t>
      </w:r>
      <w:r w:rsidR="00A94A0F" w:rsidRPr="00B24EFE">
        <w:rPr>
          <w:rFonts w:ascii="Times New Roman" w:eastAsia="Calibri" w:hAnsi="Times New Roman" w:cs="Times New Roman"/>
          <w:bCs/>
          <w:i/>
          <w:iCs/>
          <w:color w:val="000000"/>
          <w:sz w:val="24"/>
          <w:szCs w:val="24"/>
        </w:rPr>
        <w:t xml:space="preserve">, E. </w:t>
      </w:r>
      <w:r w:rsidRPr="00B24EFE">
        <w:rPr>
          <w:rFonts w:ascii="Times New Roman" w:eastAsia="Calibri" w:hAnsi="Times New Roman" w:cs="Times New Roman"/>
          <w:bCs/>
          <w:i/>
          <w:iCs/>
          <w:color w:val="000000"/>
          <w:sz w:val="24"/>
          <w:szCs w:val="24"/>
        </w:rPr>
        <w:t xml:space="preserve">Administratívne náklady). Rozčleňte ich a vypočítajte v súlade s metodickým postupom. </w:t>
      </w:r>
    </w:p>
    <w:p w14:paraId="5A5F0CD5" w14:textId="77777777" w:rsidR="00B01E8A" w:rsidRPr="00B01E8A" w:rsidRDefault="00B01E8A" w:rsidP="00B01E8A">
      <w:pPr>
        <w:jc w:val="both"/>
        <w:rPr>
          <w:rFonts w:ascii="Times New Roman" w:eastAsia="Calibri" w:hAnsi="Times New Roman" w:cs="Times New Roman"/>
          <w:bCs/>
          <w:iCs/>
          <w:color w:val="000000"/>
          <w:sz w:val="24"/>
          <w:szCs w:val="24"/>
        </w:rPr>
      </w:pPr>
      <w:r w:rsidRPr="00B01E8A">
        <w:rPr>
          <w:rFonts w:ascii="Times New Roman" w:eastAsia="Calibri" w:hAnsi="Times New Roman" w:cs="Times New Roman"/>
          <w:bCs/>
          <w:iCs/>
          <w:color w:val="000000"/>
          <w:sz w:val="24"/>
          <w:szCs w:val="24"/>
        </w:rPr>
        <w:t>Vzhľadom na charakter predkladaného materiálu nejde o kvantifikáciu z pohľadu jednotlivých regulácií samostatne, ale o kvantifikáciu z pohľadu celého návrhu ako celku.</w:t>
      </w:r>
    </w:p>
    <w:p w14:paraId="4B6EC210" w14:textId="020D764C" w:rsidR="00E47467" w:rsidRDefault="00E47467" w:rsidP="008342BB">
      <w:pPr>
        <w:jc w:val="both"/>
        <w:rPr>
          <w:rFonts w:ascii="Times New Roman" w:hAnsi="Times New Roman" w:cs="Times New Roman"/>
          <w:b/>
          <w:color w:val="000000"/>
          <w:sz w:val="24"/>
          <w:szCs w:val="24"/>
        </w:rPr>
      </w:pPr>
      <w:r>
        <w:rPr>
          <w:rFonts w:ascii="Times New Roman" w:hAnsi="Times New Roman" w:cs="Times New Roman"/>
          <w:b/>
          <w:color w:val="000000"/>
          <w:sz w:val="24"/>
          <w:szCs w:val="24"/>
        </w:rPr>
        <w:t>1. Oboznámenie sa s</w:t>
      </w:r>
      <w:r w:rsidR="00863D90">
        <w:rPr>
          <w:rFonts w:ascii="Times New Roman" w:hAnsi="Times New Roman" w:cs="Times New Roman"/>
          <w:b/>
          <w:color w:val="000000"/>
          <w:sz w:val="24"/>
          <w:szCs w:val="24"/>
        </w:rPr>
        <w:t>o zmenami</w:t>
      </w:r>
      <w:r>
        <w:rPr>
          <w:rFonts w:ascii="Times New Roman" w:hAnsi="Times New Roman" w:cs="Times New Roman"/>
          <w:b/>
          <w:color w:val="000000"/>
          <w:sz w:val="24"/>
          <w:szCs w:val="24"/>
        </w:rPr>
        <w:t xml:space="preserve"> </w:t>
      </w:r>
    </w:p>
    <w:p w14:paraId="6334CDA8" w14:textId="1AC500D0" w:rsidR="00E47467" w:rsidRPr="00245502" w:rsidRDefault="00E47467" w:rsidP="008342BB">
      <w:pPr>
        <w:jc w:val="both"/>
        <w:rPr>
          <w:rFonts w:ascii="Times New Roman" w:eastAsia="Calibri" w:hAnsi="Times New Roman" w:cs="Times New Roman"/>
          <w:sz w:val="24"/>
          <w:szCs w:val="24"/>
        </w:rPr>
      </w:pPr>
      <w:r>
        <w:rPr>
          <w:rFonts w:ascii="Times New Roman" w:eastAsia="Calibri" w:hAnsi="Times New Roman" w:cs="Times New Roman"/>
          <w:sz w:val="24"/>
          <w:szCs w:val="24"/>
        </w:rPr>
        <w:t>Predkladateľ vníma, že zavedenie novej regulácie, ktorá má dopad na celospoločenské vzťahy, bude sprevádzaný potrebou oboznámenia sa s takouto reguláciou. Táto povinnosť sa týka nielen podnikateľov, ale v zásade všetkých občanov Slovenskej republiky, cudzincov, ktorí v </w:t>
      </w:r>
      <w:r w:rsidRPr="00245502">
        <w:rPr>
          <w:rFonts w:ascii="Times New Roman" w:eastAsia="Calibri" w:hAnsi="Times New Roman" w:cs="Times New Roman"/>
          <w:sz w:val="24"/>
          <w:szCs w:val="24"/>
        </w:rPr>
        <w:t xml:space="preserve">slovenských podmienkach pôsobia a právnických osôb, či už podnikateľov, alebo nepodnikateľov. </w:t>
      </w:r>
    </w:p>
    <w:p w14:paraId="657F0C83" w14:textId="22B485B4" w:rsidR="00E47467" w:rsidRPr="00245502" w:rsidRDefault="00E47467" w:rsidP="008342BB">
      <w:pPr>
        <w:spacing w:line="254" w:lineRule="auto"/>
        <w:jc w:val="both"/>
        <w:rPr>
          <w:rFonts w:ascii="Times New Roman" w:eastAsia="Calibri" w:hAnsi="Times New Roman" w:cs="Times New Roman"/>
          <w:sz w:val="24"/>
          <w:szCs w:val="24"/>
        </w:rPr>
      </w:pPr>
      <w:r w:rsidRPr="00245502">
        <w:rPr>
          <w:rFonts w:ascii="Times New Roman" w:eastAsia="Calibri" w:hAnsi="Times New Roman" w:cs="Times New Roman"/>
          <w:sz w:val="24"/>
          <w:szCs w:val="24"/>
        </w:rPr>
        <w:t xml:space="preserve">Predkladateľ má za to, že dopad je možné vyčísliť iba odhadom. </w:t>
      </w:r>
    </w:p>
    <w:p w14:paraId="6BC0E39F" w14:textId="3E345FEB" w:rsidR="00E47467" w:rsidRPr="00245502" w:rsidRDefault="00863D90" w:rsidP="008342BB">
      <w:pPr>
        <w:spacing w:line="254" w:lineRule="auto"/>
        <w:jc w:val="both"/>
        <w:rPr>
          <w:rFonts w:ascii="Times New Roman" w:eastAsia="Calibri" w:hAnsi="Times New Roman" w:cs="Times New Roman"/>
          <w:sz w:val="24"/>
          <w:szCs w:val="24"/>
        </w:rPr>
      </w:pPr>
      <w:r w:rsidRPr="00245502">
        <w:rPr>
          <w:rFonts w:ascii="Times New Roman" w:eastAsia="Calibri" w:hAnsi="Times New Roman" w:cs="Times New Roman"/>
          <w:sz w:val="24"/>
          <w:szCs w:val="24"/>
        </w:rPr>
        <w:t xml:space="preserve">Kvantifikácia vychádza z pohľadu vplyvu na celé podnikateľské prostredie. </w:t>
      </w:r>
      <w:r w:rsidR="00E47467" w:rsidRPr="00245502">
        <w:rPr>
          <w:rFonts w:ascii="Times New Roman" w:eastAsia="Calibri" w:hAnsi="Times New Roman" w:cs="Times New Roman"/>
          <w:sz w:val="24"/>
          <w:szCs w:val="24"/>
        </w:rPr>
        <w:t xml:space="preserve">Ako počet subjektov, na ktoré bude mať </w:t>
      </w:r>
      <w:r w:rsidR="00ED2D58" w:rsidRPr="00245502">
        <w:rPr>
          <w:rFonts w:ascii="Times New Roman" w:eastAsia="Calibri" w:hAnsi="Times New Roman" w:cs="Times New Roman"/>
          <w:sz w:val="24"/>
          <w:szCs w:val="24"/>
        </w:rPr>
        <w:t xml:space="preserve">návrh </w:t>
      </w:r>
      <w:r w:rsidR="00E47467" w:rsidRPr="00245502">
        <w:rPr>
          <w:rFonts w:ascii="Times New Roman" w:eastAsia="Calibri" w:hAnsi="Times New Roman" w:cs="Times New Roman"/>
          <w:sz w:val="24"/>
          <w:szCs w:val="24"/>
        </w:rPr>
        <w:t xml:space="preserve">negatívny vplyv </w:t>
      </w:r>
      <w:r w:rsidR="008342BB" w:rsidRPr="00245502">
        <w:rPr>
          <w:rFonts w:ascii="Times New Roman" w:eastAsia="Calibri" w:hAnsi="Times New Roman" w:cs="Times New Roman"/>
          <w:sz w:val="24"/>
          <w:szCs w:val="24"/>
        </w:rPr>
        <w:t>(In)</w:t>
      </w:r>
      <w:r w:rsidR="00E47467" w:rsidRPr="00245502">
        <w:rPr>
          <w:rFonts w:ascii="Times New Roman" w:eastAsia="Calibri" w:hAnsi="Times New Roman" w:cs="Times New Roman"/>
          <w:sz w:val="24"/>
          <w:szCs w:val="24"/>
        </w:rPr>
        <w:t xml:space="preserve">, uvádza predkladateľ počet 700 000 </w:t>
      </w:r>
      <w:r w:rsidRPr="00245502">
        <w:rPr>
          <w:rFonts w:ascii="Times New Roman" w:eastAsia="Times New Roman" w:hAnsi="Times New Roman" w:cs="Times New Roman"/>
          <w:color w:val="000000"/>
          <w:sz w:val="24"/>
          <w:szCs w:val="24"/>
        </w:rPr>
        <w:t>pričom tento údaj predstavuje odhad vychádzajúci z dát Štatistického úradu Slovenskej republiky (ekonomické subjekty podľa právnych foriem)</w:t>
      </w:r>
      <w:r w:rsidR="008342BB" w:rsidRPr="00245502">
        <w:rPr>
          <w:rFonts w:ascii="Times New Roman" w:eastAsia="Calibri" w:hAnsi="Times New Roman" w:cs="Times New Roman"/>
          <w:sz w:val="24"/>
          <w:szCs w:val="24"/>
        </w:rPr>
        <w:t xml:space="preserve">. </w:t>
      </w:r>
    </w:p>
    <w:p w14:paraId="6A6302EC" w14:textId="1585B2EC" w:rsidR="007563F7" w:rsidRPr="00245502" w:rsidRDefault="007563F7" w:rsidP="007563F7">
      <w:pPr>
        <w:jc w:val="both"/>
        <w:rPr>
          <w:rFonts w:ascii="Times New Roman" w:eastAsia="Calibri" w:hAnsi="Times New Roman" w:cs="Times New Roman"/>
          <w:bCs/>
          <w:iCs/>
          <w:color w:val="000000"/>
          <w:sz w:val="24"/>
          <w:szCs w:val="24"/>
        </w:rPr>
      </w:pPr>
      <w:r w:rsidRPr="00245502">
        <w:rPr>
          <w:rFonts w:ascii="Times New Roman" w:eastAsia="Calibri" w:hAnsi="Times New Roman" w:cs="Times New Roman"/>
          <w:bCs/>
          <w:iCs/>
          <w:color w:val="000000"/>
          <w:sz w:val="24"/>
          <w:szCs w:val="24"/>
        </w:rPr>
        <w:t>Predkladateľ pri posudzovaní vplyvov na podnikateľské prostredie v časti E. Administratívne náklady zvolil ako typ regulácie oboznámenie sa s</w:t>
      </w:r>
      <w:r w:rsidR="00863D90" w:rsidRPr="00245502">
        <w:rPr>
          <w:rFonts w:ascii="Times New Roman" w:eastAsia="Calibri" w:hAnsi="Times New Roman" w:cs="Times New Roman"/>
          <w:bCs/>
          <w:iCs/>
          <w:color w:val="000000"/>
          <w:sz w:val="24"/>
          <w:szCs w:val="24"/>
        </w:rPr>
        <w:t> </w:t>
      </w:r>
      <w:r w:rsidRPr="00245502">
        <w:rPr>
          <w:rFonts w:ascii="Times New Roman" w:eastAsia="Calibri" w:hAnsi="Times New Roman" w:cs="Times New Roman"/>
          <w:bCs/>
          <w:iCs/>
          <w:color w:val="000000"/>
          <w:sz w:val="24"/>
          <w:szCs w:val="24"/>
        </w:rPr>
        <w:t>reguláciou</w:t>
      </w:r>
      <w:r w:rsidR="00863D90" w:rsidRPr="00245502">
        <w:rPr>
          <w:rFonts w:ascii="Times New Roman" w:eastAsia="Calibri" w:hAnsi="Times New Roman" w:cs="Times New Roman"/>
          <w:bCs/>
          <w:iCs/>
          <w:color w:val="000000"/>
          <w:sz w:val="24"/>
          <w:szCs w:val="24"/>
        </w:rPr>
        <w:t xml:space="preserve"> a overenie súladu</w:t>
      </w:r>
      <w:r w:rsidRPr="00245502">
        <w:rPr>
          <w:rFonts w:ascii="Times New Roman" w:eastAsia="Calibri" w:hAnsi="Times New Roman" w:cs="Times New Roman"/>
          <w:bCs/>
          <w:iCs/>
          <w:color w:val="000000"/>
          <w:sz w:val="24"/>
          <w:szCs w:val="24"/>
        </w:rPr>
        <w:t xml:space="preserve"> (administratívne náklady) pri jednorazovej frekvencii povinnosti plnenia. Predpokladá sa </w:t>
      </w:r>
      <w:r w:rsidR="00863D90" w:rsidRPr="00245502">
        <w:rPr>
          <w:rFonts w:ascii="Times New Roman" w:eastAsia="Calibri" w:hAnsi="Times New Roman" w:cs="Times New Roman"/>
          <w:bCs/>
          <w:iCs/>
          <w:color w:val="000000"/>
          <w:sz w:val="24"/>
          <w:szCs w:val="24"/>
        </w:rPr>
        <w:t>malá</w:t>
      </w:r>
      <w:r w:rsidRPr="00245502">
        <w:rPr>
          <w:rFonts w:ascii="Times New Roman" w:eastAsia="Calibri" w:hAnsi="Times New Roman" w:cs="Times New Roman"/>
          <w:bCs/>
          <w:iCs/>
          <w:color w:val="000000"/>
          <w:sz w:val="24"/>
          <w:szCs w:val="24"/>
        </w:rPr>
        <w:t xml:space="preserve"> veľkosť povinnosti. </w:t>
      </w:r>
    </w:p>
    <w:p w14:paraId="04608B4B" w14:textId="55E35F05" w:rsidR="007563F7" w:rsidRPr="00245502" w:rsidRDefault="007563F7" w:rsidP="007563F7">
      <w:pPr>
        <w:jc w:val="both"/>
        <w:rPr>
          <w:rFonts w:ascii="Times New Roman" w:eastAsia="Calibri" w:hAnsi="Times New Roman" w:cs="Times New Roman"/>
          <w:bCs/>
          <w:iCs/>
          <w:color w:val="000000"/>
          <w:sz w:val="24"/>
          <w:szCs w:val="24"/>
        </w:rPr>
      </w:pPr>
      <w:r w:rsidRPr="00245502">
        <w:rPr>
          <w:rFonts w:ascii="Times New Roman" w:eastAsia="Calibri" w:hAnsi="Times New Roman" w:cs="Times New Roman"/>
          <w:bCs/>
          <w:iCs/>
          <w:color w:val="000000"/>
          <w:sz w:val="24"/>
          <w:szCs w:val="24"/>
        </w:rPr>
        <w:t xml:space="preserve">Jednorazovú povinnosť plnenia zvolil predkladateľ z dôvodu, že predpokladá, že v rámci legisvakačnej doby, prípadne až po nej, sa každý podnikateľský subjekt bude musieť oboznámiť s tou časťou návrhu, ktorá sa vzťahuje na právne vzťahy, do ktorých vstupuje. </w:t>
      </w:r>
    </w:p>
    <w:p w14:paraId="6FFB1C52" w14:textId="3FE13AA6" w:rsidR="00E47467" w:rsidRPr="00245502" w:rsidRDefault="00863D90" w:rsidP="008342BB">
      <w:pPr>
        <w:spacing w:line="254" w:lineRule="auto"/>
        <w:jc w:val="both"/>
        <w:rPr>
          <w:rFonts w:ascii="Times New Roman" w:eastAsia="Calibri" w:hAnsi="Times New Roman" w:cs="Times New Roman"/>
          <w:sz w:val="24"/>
          <w:szCs w:val="24"/>
        </w:rPr>
      </w:pPr>
      <w:r w:rsidRPr="00245502">
        <w:rPr>
          <w:rFonts w:ascii="Times New Roman" w:eastAsia="Calibri" w:hAnsi="Times New Roman" w:cs="Times New Roman"/>
          <w:sz w:val="24"/>
          <w:szCs w:val="24"/>
        </w:rPr>
        <w:t>Malá</w:t>
      </w:r>
      <w:r w:rsidR="007563F7" w:rsidRPr="00245502">
        <w:rPr>
          <w:rFonts w:ascii="Times New Roman" w:eastAsia="Calibri" w:hAnsi="Times New Roman" w:cs="Times New Roman"/>
          <w:sz w:val="24"/>
          <w:szCs w:val="24"/>
        </w:rPr>
        <w:t xml:space="preserve"> veľkosť povinnosti bola zvolená ako stredná cesta odhadu. Pre podnikateľské subjekty nie je vo vzťahu k výkonu podnikateľskej činnosti relevantné oboznámenie sa s celým návrhom (časti o fyzických osobách, dedení, spoločnému imaniu manželov). </w:t>
      </w:r>
      <w:r w:rsidR="00E47467" w:rsidRPr="00245502">
        <w:rPr>
          <w:rFonts w:ascii="Times New Roman" w:eastAsia="Calibri" w:hAnsi="Times New Roman" w:cs="Times New Roman"/>
          <w:sz w:val="24"/>
          <w:szCs w:val="24"/>
        </w:rPr>
        <w:t xml:space="preserve">Je </w:t>
      </w:r>
      <w:r w:rsidR="007563F7" w:rsidRPr="00245502">
        <w:rPr>
          <w:rFonts w:ascii="Times New Roman" w:eastAsia="Calibri" w:hAnsi="Times New Roman" w:cs="Times New Roman"/>
          <w:sz w:val="24"/>
          <w:szCs w:val="24"/>
        </w:rPr>
        <w:t>tiež pravdepodobné</w:t>
      </w:r>
      <w:r w:rsidR="00E47467" w:rsidRPr="00245502">
        <w:rPr>
          <w:rFonts w:ascii="Times New Roman" w:eastAsia="Calibri" w:hAnsi="Times New Roman" w:cs="Times New Roman"/>
          <w:sz w:val="24"/>
          <w:szCs w:val="24"/>
        </w:rPr>
        <w:t xml:space="preserve">, že subjekty sa nepotrebujú oboznámiť s celou reguláciou, ale len s reguláciou, ktorá sa ich týka, resp. sa ich týka okrajovo alebo v ktorej uzatvárajú zmluvy pravidelne, prípadne v ktorej chcú uzavrieť zmluvu jednorazovo. </w:t>
      </w:r>
      <w:r w:rsidR="007563F7" w:rsidRPr="00245502">
        <w:rPr>
          <w:rFonts w:ascii="Times New Roman" w:eastAsia="Calibri" w:hAnsi="Times New Roman" w:cs="Times New Roman"/>
          <w:sz w:val="24"/>
          <w:szCs w:val="24"/>
        </w:rPr>
        <w:t xml:space="preserve">V tomto smere tak predkladateľ predpokladá, že zvolenie </w:t>
      </w:r>
      <w:r w:rsidRPr="00245502">
        <w:rPr>
          <w:rFonts w:ascii="Times New Roman" w:eastAsia="Calibri" w:hAnsi="Times New Roman" w:cs="Times New Roman"/>
          <w:sz w:val="24"/>
          <w:szCs w:val="24"/>
        </w:rPr>
        <w:t>malej</w:t>
      </w:r>
      <w:r w:rsidR="007563F7" w:rsidRPr="00245502">
        <w:rPr>
          <w:rFonts w:ascii="Times New Roman" w:eastAsia="Calibri" w:hAnsi="Times New Roman" w:cs="Times New Roman"/>
          <w:sz w:val="24"/>
          <w:szCs w:val="24"/>
        </w:rPr>
        <w:t xml:space="preserve"> veľkosti povinnosti pokryje </w:t>
      </w:r>
      <w:r w:rsidR="008342BB" w:rsidRPr="00245502">
        <w:rPr>
          <w:rFonts w:ascii="Times New Roman" w:eastAsia="Calibri" w:hAnsi="Times New Roman" w:cs="Times New Roman"/>
          <w:sz w:val="24"/>
          <w:szCs w:val="24"/>
        </w:rPr>
        <w:t xml:space="preserve">zásadnú časť podnikateľských subjektov a rovnako vyrovná dopad v extrémnych prípadoch – ktorými sú podnikatelia, ktorí sa s reguláciou vôbec neoboznamujú (nakoľko využívajú služby poradenských služieb či </w:t>
      </w:r>
      <w:r w:rsidR="00293B63">
        <w:rPr>
          <w:rFonts w:ascii="Times New Roman" w:eastAsia="Calibri" w:hAnsi="Times New Roman" w:cs="Times New Roman"/>
          <w:sz w:val="24"/>
          <w:szCs w:val="24"/>
        </w:rPr>
        <w:t>advokátov) a podnikatelia, ktorí</w:t>
      </w:r>
      <w:r w:rsidR="008342BB" w:rsidRPr="00245502">
        <w:rPr>
          <w:rFonts w:ascii="Times New Roman" w:eastAsia="Calibri" w:hAnsi="Times New Roman" w:cs="Times New Roman"/>
          <w:sz w:val="24"/>
          <w:szCs w:val="24"/>
        </w:rPr>
        <w:t xml:space="preserve"> sa s reguláciou musia oboznámiť obšírnejším rozsahom (napr. advokáti). </w:t>
      </w:r>
    </w:p>
    <w:p w14:paraId="3EBBA545" w14:textId="67163B9B" w:rsidR="00245502" w:rsidRDefault="00245502" w:rsidP="00E47467">
      <w:pPr>
        <w:jc w:val="both"/>
        <w:rPr>
          <w:rFonts w:ascii="Times New Roman" w:hAnsi="Times New Roman" w:cs="Times New Roman"/>
          <w:b/>
          <w:color w:val="000000"/>
          <w:sz w:val="24"/>
          <w:szCs w:val="24"/>
        </w:rPr>
      </w:pPr>
    </w:p>
    <w:p w14:paraId="5AF98877" w14:textId="77777777" w:rsidR="00293B63" w:rsidRDefault="00293B63" w:rsidP="00E47467">
      <w:pPr>
        <w:jc w:val="both"/>
        <w:rPr>
          <w:rFonts w:ascii="Times New Roman" w:hAnsi="Times New Roman" w:cs="Times New Roman"/>
          <w:b/>
          <w:color w:val="000000"/>
          <w:sz w:val="24"/>
          <w:szCs w:val="24"/>
        </w:rPr>
      </w:pPr>
    </w:p>
    <w:p w14:paraId="2F5F4C75" w14:textId="5F96FED9" w:rsidR="00E47467" w:rsidRDefault="00E47467" w:rsidP="00E47467">
      <w:pPr>
        <w:jc w:val="both"/>
        <w:rPr>
          <w:rFonts w:ascii="Times New Roman" w:hAnsi="Times New Roman" w:cs="Times New Roman"/>
          <w:b/>
          <w:color w:val="000000"/>
          <w:sz w:val="24"/>
          <w:szCs w:val="24"/>
        </w:rPr>
      </w:pPr>
      <w:r>
        <w:rPr>
          <w:rFonts w:ascii="Times New Roman" w:hAnsi="Times New Roman" w:cs="Times New Roman"/>
          <w:b/>
          <w:color w:val="000000"/>
          <w:sz w:val="24"/>
          <w:szCs w:val="24"/>
        </w:rPr>
        <w:lastRenderedPageBreak/>
        <w:t xml:space="preserve">2. </w:t>
      </w:r>
      <w:r w:rsidR="00863D90" w:rsidRPr="00863D90">
        <w:rPr>
          <w:rFonts w:ascii="Times New Roman" w:hAnsi="Times New Roman" w:cs="Times New Roman"/>
          <w:b/>
          <w:color w:val="000000"/>
          <w:sz w:val="24"/>
          <w:szCs w:val="24"/>
        </w:rPr>
        <w:t>Zníženie počtu súdnych sporov</w:t>
      </w:r>
    </w:p>
    <w:p w14:paraId="363EA050" w14:textId="77777777" w:rsidR="006D7590" w:rsidRDefault="006D7590" w:rsidP="006D7590">
      <w:pPr>
        <w:spacing w:line="254"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Predkladateľ považuje úpravu moderného civilného kódexu za zásadnú pre zvýšenie právnej istoty v právnych vzťahoch. </w:t>
      </w:r>
    </w:p>
    <w:p w14:paraId="1B98E466" w14:textId="77777777" w:rsidR="006D7590" w:rsidRPr="0020065D" w:rsidRDefault="006D7590" w:rsidP="006D7590">
      <w:pPr>
        <w:spacing w:line="254" w:lineRule="auto"/>
        <w:jc w:val="both"/>
        <w:rPr>
          <w:rFonts w:ascii="Times New Roman" w:eastAsia="Calibri" w:hAnsi="Times New Roman" w:cs="Times New Roman"/>
          <w:sz w:val="24"/>
          <w:szCs w:val="24"/>
        </w:rPr>
      </w:pPr>
      <w:r w:rsidRPr="0020065D">
        <w:rPr>
          <w:rFonts w:ascii="Times New Roman" w:eastAsia="Calibri" w:hAnsi="Times New Roman" w:cs="Times New Roman"/>
          <w:sz w:val="24"/>
          <w:szCs w:val="24"/>
        </w:rPr>
        <w:t>Občianske právo je odvetvím práva, ktoré sa bytostne dotýka každého jedného človeka</w:t>
      </w:r>
      <w:r>
        <w:rPr>
          <w:rFonts w:ascii="Times New Roman" w:eastAsia="Calibri" w:hAnsi="Times New Roman" w:cs="Times New Roman"/>
          <w:sz w:val="24"/>
          <w:szCs w:val="24"/>
        </w:rPr>
        <w:t xml:space="preserve"> a rovnako aj podnikateľských subjektov</w:t>
      </w:r>
      <w:r w:rsidRPr="0020065D">
        <w:rPr>
          <w:rFonts w:ascii="Times New Roman" w:eastAsia="Calibri" w:hAnsi="Times New Roman" w:cs="Times New Roman"/>
          <w:sz w:val="24"/>
          <w:szCs w:val="24"/>
        </w:rPr>
        <w:t xml:space="preserve">. Jeho kvalitná štruktúra a obsah sú preto nevyhnutné na to, aby všetky tieto vzťahy fungovali riadne a správne, a aby boli v prípade sporov súdne rozhodnutia predvídateľné. Dobrá, zrozumiteľná a prehľadná úprava občianskeho práva tak zabezpečuje v </w:t>
      </w:r>
      <w:r>
        <w:rPr>
          <w:rFonts w:ascii="Times New Roman" w:eastAsia="Calibri" w:hAnsi="Times New Roman" w:cs="Times New Roman"/>
          <w:sz w:val="24"/>
          <w:szCs w:val="24"/>
        </w:rPr>
        <w:t>spoločenských</w:t>
      </w:r>
      <w:r w:rsidRPr="0020065D">
        <w:rPr>
          <w:rFonts w:ascii="Times New Roman" w:eastAsia="Calibri" w:hAnsi="Times New Roman" w:cs="Times New Roman"/>
          <w:sz w:val="24"/>
          <w:szCs w:val="24"/>
        </w:rPr>
        <w:t xml:space="preserve"> vzťahoch právnu istotu – a tým je do istej miery predpokladom pre pokojné a nekonfliktné spolun</w:t>
      </w:r>
      <w:r>
        <w:rPr>
          <w:rFonts w:ascii="Times New Roman" w:eastAsia="Calibri" w:hAnsi="Times New Roman" w:cs="Times New Roman"/>
          <w:sz w:val="24"/>
          <w:szCs w:val="24"/>
        </w:rPr>
        <w:t xml:space="preserve">ažívanie v našom spoločenstve. </w:t>
      </w:r>
    </w:p>
    <w:p w14:paraId="537ECD88" w14:textId="53474563" w:rsidR="006D7590" w:rsidRDefault="006D7590" w:rsidP="006D7590">
      <w:pPr>
        <w:spacing w:line="254" w:lineRule="auto"/>
        <w:jc w:val="both"/>
        <w:rPr>
          <w:rFonts w:ascii="Times New Roman" w:eastAsia="Calibri" w:hAnsi="Times New Roman" w:cs="Times New Roman"/>
          <w:sz w:val="24"/>
          <w:szCs w:val="24"/>
        </w:rPr>
      </w:pPr>
      <w:r w:rsidRPr="0020065D">
        <w:rPr>
          <w:rFonts w:ascii="Times New Roman" w:eastAsia="Calibri" w:hAnsi="Times New Roman" w:cs="Times New Roman"/>
          <w:sz w:val="24"/>
          <w:szCs w:val="24"/>
        </w:rPr>
        <w:t xml:space="preserve">V súčasnosti platný Občiansky zákonník bol prijatý v roku 1964, a to s obsahom poplatným dobe svojho vzniku, tzn. ako taký je vystavaný okolo typických situácií socialistického života, čo sa prejavilo v neprirodzene zúženom právnom priestore pre slobodné rozhodovanie o vlastných záležitostiach. Dôsledkom tak je nielen stručná právna úprava, ktorá opomínala mnohé z klasických právnych inštitútov, ale aj príliš zjednodušujúci pohľad na právo ako na systém mantinelov pre realizáciu širokej slobody jednotlivca. Hoci v priebehu času boli niektoré jeho nedostatky odstránené, aj naďalej ostáva Občiansky zákonník v mnohých smeroch predpisom len pre základné, typové prípady. V dnešnej dobe, ktorá je charakterizovaná zložitosťou spoločenských a ekonomických vzťahov, však už takýto predpis nestačí. Jeho nedostatočná a príliš zovšeobecňujúca úprava totiž neraz buď neponúka žiadne riešenia pre komplikované situácie </w:t>
      </w:r>
      <w:r>
        <w:rPr>
          <w:rFonts w:ascii="Times New Roman" w:eastAsia="Calibri" w:hAnsi="Times New Roman" w:cs="Times New Roman"/>
          <w:sz w:val="24"/>
          <w:szCs w:val="24"/>
        </w:rPr>
        <w:t>(zásadne sa</w:t>
      </w:r>
      <w:r w:rsidR="00293B63">
        <w:rPr>
          <w:rFonts w:ascii="Times New Roman" w:eastAsia="Calibri" w:hAnsi="Times New Roman" w:cs="Times New Roman"/>
          <w:sz w:val="24"/>
          <w:szCs w:val="24"/>
        </w:rPr>
        <w:t xml:space="preserve"> odlišujúce od situácií a socio</w:t>
      </w:r>
      <w:r>
        <w:rPr>
          <w:rFonts w:ascii="Times New Roman" w:eastAsia="Calibri" w:hAnsi="Times New Roman" w:cs="Times New Roman"/>
          <w:sz w:val="24"/>
          <w:szCs w:val="24"/>
        </w:rPr>
        <w:t>ekonomického usporiadania v čase jeho prijatia)</w:t>
      </w:r>
      <w:r w:rsidR="00293B63">
        <w:rPr>
          <w:rFonts w:ascii="Times New Roman" w:eastAsia="Calibri" w:hAnsi="Times New Roman" w:cs="Times New Roman"/>
          <w:sz w:val="24"/>
          <w:szCs w:val="24"/>
        </w:rPr>
        <w:t>,</w:t>
      </w:r>
      <w:r w:rsidRPr="0020065D">
        <w:rPr>
          <w:rFonts w:ascii="Times New Roman" w:eastAsia="Calibri" w:hAnsi="Times New Roman" w:cs="Times New Roman"/>
          <w:sz w:val="24"/>
          <w:szCs w:val="24"/>
        </w:rPr>
        <w:t xml:space="preserve"> alebo vedie k neuspokojivým riešeniam, ktoré už nezodpovedajú dnešným potrebám.</w:t>
      </w:r>
    </w:p>
    <w:p w14:paraId="429FC840" w14:textId="77777777" w:rsidR="006D7590" w:rsidRDefault="006D7590" w:rsidP="006D7590">
      <w:pPr>
        <w:spacing w:line="254"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Návrh občianskeho zákonníka reflektuje judikatúru, ktorá v súčasnosti mnohé otázky civilného práva dokresľuje, avšak vzhľadom na charakter aktuálne účinného Občianskeho zákonníka, nie je legislatívne ukotvená. </w:t>
      </w:r>
    </w:p>
    <w:p w14:paraId="06D22408" w14:textId="77777777" w:rsidR="006D7590" w:rsidRDefault="006D7590" w:rsidP="006D7590">
      <w:pPr>
        <w:spacing w:after="0" w:line="254"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Elementami návrhu, ktoré prispejú k pozitívnemu vplyvu na podnikateľov sú najmä: </w:t>
      </w:r>
    </w:p>
    <w:p w14:paraId="46BD0625" w14:textId="77777777" w:rsidR="006D7590" w:rsidRDefault="006D7590" w:rsidP="006D7590">
      <w:pPr>
        <w:pStyle w:val="Odsekzoznamu"/>
        <w:numPr>
          <w:ilvl w:val="0"/>
          <w:numId w:val="17"/>
        </w:numPr>
        <w:spacing w:after="0" w:line="254"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zjednotenie úpravy záväzkov, ktorej časť je v súčasnosti upravená v zákone č. 60/1964 Sb: Občiansky zákonník a časť v zákone č. 513/1991 Zb. Obchodný zákonník</w:t>
      </w:r>
    </w:p>
    <w:p w14:paraId="5CA19EF8" w14:textId="77777777" w:rsidR="006D7590" w:rsidRDefault="006D7590" w:rsidP="006D7590">
      <w:pPr>
        <w:pStyle w:val="Odsekzoznamu"/>
        <w:numPr>
          <w:ilvl w:val="0"/>
          <w:numId w:val="17"/>
        </w:numPr>
        <w:spacing w:after="0" w:line="254"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zjednotenie premlčacích lehôt,</w:t>
      </w:r>
    </w:p>
    <w:p w14:paraId="3F5C6EA7" w14:textId="77777777" w:rsidR="006D7590" w:rsidRDefault="006D7590" w:rsidP="006D7590">
      <w:pPr>
        <w:pStyle w:val="Odsekzoznamu"/>
        <w:numPr>
          <w:ilvl w:val="0"/>
          <w:numId w:val="17"/>
        </w:numPr>
        <w:spacing w:after="0" w:line="254" w:lineRule="auto"/>
        <w:jc w:val="both"/>
        <w:rPr>
          <w:rFonts w:ascii="Times New Roman" w:eastAsia="Calibri" w:hAnsi="Times New Roman" w:cs="Times New Roman"/>
          <w:sz w:val="24"/>
          <w:szCs w:val="24"/>
        </w:rPr>
      </w:pPr>
      <w:r w:rsidRPr="0020065D">
        <w:rPr>
          <w:rFonts w:ascii="Times New Roman" w:eastAsia="Calibri" w:hAnsi="Times New Roman" w:cs="Times New Roman"/>
          <w:sz w:val="24"/>
          <w:szCs w:val="24"/>
        </w:rPr>
        <w:t>úprava konceptu neplatnosti právneho úkonu (kedy sa zrušuje relatívna neplatnosť a nahrádza sa systémom zrušiteľnosti právneho úkonu)</w:t>
      </w:r>
      <w:r>
        <w:rPr>
          <w:rFonts w:ascii="Times New Roman" w:eastAsia="Calibri" w:hAnsi="Times New Roman" w:cs="Times New Roman"/>
          <w:sz w:val="24"/>
          <w:szCs w:val="24"/>
        </w:rPr>
        <w:t>,</w:t>
      </w:r>
    </w:p>
    <w:p w14:paraId="580DDF59" w14:textId="15FB1227" w:rsidR="006D7590" w:rsidRDefault="006D7590" w:rsidP="006D7590">
      <w:pPr>
        <w:pStyle w:val="Odsekzoznamu"/>
        <w:numPr>
          <w:ilvl w:val="0"/>
          <w:numId w:val="17"/>
        </w:numPr>
        <w:spacing w:after="0" w:line="254"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nová úprava licenčnej zmluvy</w:t>
      </w:r>
      <w:r w:rsidR="00325DA2">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 zjednotenie právnej úpravy </w:t>
      </w:r>
      <w:r w:rsidRPr="008D0ABB">
        <w:rPr>
          <w:rFonts w:ascii="Times New Roman" w:eastAsia="Calibri" w:hAnsi="Times New Roman" w:cs="Times New Roman"/>
          <w:sz w:val="24"/>
          <w:szCs w:val="24"/>
        </w:rPr>
        <w:t>dnes roztrieštenej v  zák</w:t>
      </w:r>
      <w:r>
        <w:rPr>
          <w:rFonts w:ascii="Times New Roman" w:eastAsia="Calibri" w:hAnsi="Times New Roman" w:cs="Times New Roman"/>
          <w:sz w:val="24"/>
          <w:szCs w:val="24"/>
        </w:rPr>
        <w:t>one č. 185/2015 Z. z. Autorský</w:t>
      </w:r>
      <w:r w:rsidRPr="008D0ABB">
        <w:rPr>
          <w:rFonts w:ascii="Times New Roman" w:eastAsia="Calibri" w:hAnsi="Times New Roman" w:cs="Times New Roman"/>
          <w:sz w:val="24"/>
          <w:szCs w:val="24"/>
        </w:rPr>
        <w:t xml:space="preserve"> zák</w:t>
      </w:r>
      <w:r>
        <w:rPr>
          <w:rFonts w:ascii="Times New Roman" w:eastAsia="Calibri" w:hAnsi="Times New Roman" w:cs="Times New Roman"/>
          <w:sz w:val="24"/>
          <w:szCs w:val="24"/>
        </w:rPr>
        <w:t xml:space="preserve">on v znení neskorších predpisov </w:t>
      </w:r>
      <w:r w:rsidRPr="008D0ABB">
        <w:rPr>
          <w:rFonts w:ascii="Times New Roman" w:eastAsia="Calibri" w:hAnsi="Times New Roman" w:cs="Times New Roman"/>
          <w:sz w:val="24"/>
          <w:szCs w:val="24"/>
        </w:rPr>
        <w:t>pre oblasť autorského práva, a v Obchodnom zákonníku (§</w:t>
      </w:r>
      <w:r>
        <w:rPr>
          <w:rFonts w:ascii="Times New Roman" w:eastAsia="Calibri" w:hAnsi="Times New Roman" w:cs="Times New Roman"/>
          <w:sz w:val="24"/>
          <w:szCs w:val="24"/>
        </w:rPr>
        <w:t xml:space="preserve"> </w:t>
      </w:r>
      <w:r w:rsidRPr="008D0ABB">
        <w:rPr>
          <w:rFonts w:ascii="Times New Roman" w:eastAsia="Calibri" w:hAnsi="Times New Roman" w:cs="Times New Roman"/>
          <w:sz w:val="24"/>
          <w:szCs w:val="24"/>
        </w:rPr>
        <w:t xml:space="preserve">508 a </w:t>
      </w:r>
      <w:proofErr w:type="spellStart"/>
      <w:r w:rsidRPr="008D0ABB">
        <w:rPr>
          <w:rFonts w:ascii="Times New Roman" w:eastAsia="Calibri" w:hAnsi="Times New Roman" w:cs="Times New Roman"/>
          <w:sz w:val="24"/>
          <w:szCs w:val="24"/>
        </w:rPr>
        <w:t>nasl</w:t>
      </w:r>
      <w:proofErr w:type="spellEnd"/>
      <w:r w:rsidRPr="008D0ABB">
        <w:rPr>
          <w:rFonts w:ascii="Times New Roman" w:eastAsia="Calibri" w:hAnsi="Times New Roman" w:cs="Times New Roman"/>
          <w:sz w:val="24"/>
          <w:szCs w:val="24"/>
        </w:rPr>
        <w:t>.) na predmety tzv. priemyselného vlastníctva, so špecifikami upravenými v osobitných predpisoch upravujúcich jednotlivé predmety duševného vlastníctva (napr. zákon č. 435/2001 Z. z. o patentoch, dodatkových ochranných osvedčeniach a o zmene a doplnení niektorých zákonov (patentový zákon) v znení neskorších predpisov, zákon č. 506/2009 Z. z. o ochranných známkach v znení neskorších predpisov, zákon č. 444/2002 Z. z. o  dizajnoch v znení neskorších predpisov, zákon č. 517/2007 Z. z. o úžitkových vzoroch a o zmene a doplnení niektorých zákono</w:t>
      </w:r>
      <w:r>
        <w:rPr>
          <w:rFonts w:ascii="Times New Roman" w:eastAsia="Calibri" w:hAnsi="Times New Roman" w:cs="Times New Roman"/>
          <w:sz w:val="24"/>
          <w:szCs w:val="24"/>
        </w:rPr>
        <w:t xml:space="preserve">v v znení neskorších predpisov </w:t>
      </w:r>
    </w:p>
    <w:p w14:paraId="273E3BA4" w14:textId="388FBD0E" w:rsidR="006D7590" w:rsidRDefault="006D7590" w:rsidP="006D7590">
      <w:pPr>
        <w:pStyle w:val="Odsekzoznamu"/>
        <w:numPr>
          <w:ilvl w:val="0"/>
          <w:numId w:val="17"/>
        </w:numPr>
        <w:spacing w:after="0" w:line="254"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nová úprava zmluvy o</w:t>
      </w:r>
      <w:r w:rsidR="00325DA2">
        <w:rPr>
          <w:rFonts w:ascii="Times New Roman" w:eastAsia="Calibri" w:hAnsi="Times New Roman" w:cs="Times New Roman"/>
          <w:sz w:val="24"/>
          <w:szCs w:val="24"/>
        </w:rPr>
        <w:t> </w:t>
      </w:r>
      <w:r>
        <w:rPr>
          <w:rFonts w:ascii="Times New Roman" w:eastAsia="Calibri" w:hAnsi="Times New Roman" w:cs="Times New Roman"/>
          <w:sz w:val="24"/>
          <w:szCs w:val="24"/>
        </w:rPr>
        <w:t>franšíze</w:t>
      </w:r>
      <w:r w:rsidR="00325DA2">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 navrhuje sa zaviesť nová úprava takejto zmluvy ako pomenovaného kontaktu. V čase prijímania súčasného Občianskeho zákonníka vzhľadom na neexistenciu trhového hospodárstva takýto inštitút chýbal, v súčasnom období prax jeho </w:t>
      </w:r>
      <w:r>
        <w:rPr>
          <w:rFonts w:ascii="Times New Roman" w:eastAsia="Calibri" w:hAnsi="Times New Roman" w:cs="Times New Roman"/>
          <w:sz w:val="24"/>
          <w:szCs w:val="24"/>
        </w:rPr>
        <w:lastRenderedPageBreak/>
        <w:t>využitie vyžaduje a zavedenie právnej úpravy bude viesť k právnej istote v regulovaných právnych vzťahoch</w:t>
      </w:r>
    </w:p>
    <w:p w14:paraId="1982C20C" w14:textId="0C34FEDE" w:rsidR="006D7590" w:rsidRPr="00151ECF" w:rsidRDefault="006D7590" w:rsidP="006D7590">
      <w:pPr>
        <w:pStyle w:val="Odsekzoznamu"/>
        <w:numPr>
          <w:ilvl w:val="0"/>
          <w:numId w:val="17"/>
        </w:numPr>
        <w:spacing w:after="0" w:line="254"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nová regulácia zmluvy o nájme podniku - navrhuje sa zaviesť nová úprava takejto zmluvy ako pomenovaného kontaktu. V čase prijímania súčasného Občianskeho zákonníka vzhľadom na neexistenciu trhového hospodárstva takýto inštitút chýbal, v súčasnom období prax </w:t>
      </w:r>
      <w:r w:rsidRPr="00943268">
        <w:rPr>
          <w:rFonts w:ascii="Times New Roman" w:eastAsia="Calibri" w:hAnsi="Times New Roman" w:cs="Times New Roman"/>
          <w:sz w:val="24"/>
          <w:szCs w:val="24"/>
        </w:rPr>
        <w:t>jeho využitie vyžaduje a zavedenie právnej úpravy bude viesť k právnej istote v regulovaných právnych vzťahoch</w:t>
      </w:r>
    </w:p>
    <w:p w14:paraId="485AF411" w14:textId="65022FC8" w:rsidR="006D7590" w:rsidRPr="00245502" w:rsidRDefault="006D7590" w:rsidP="006D7590">
      <w:pPr>
        <w:pStyle w:val="Odsekzoznamu"/>
        <w:numPr>
          <w:ilvl w:val="0"/>
          <w:numId w:val="17"/>
        </w:numPr>
        <w:spacing w:line="254" w:lineRule="auto"/>
        <w:jc w:val="both"/>
        <w:rPr>
          <w:rFonts w:ascii="Times New Roman" w:eastAsia="Calibri" w:hAnsi="Times New Roman" w:cs="Times New Roman"/>
          <w:sz w:val="24"/>
          <w:szCs w:val="24"/>
        </w:rPr>
      </w:pPr>
      <w:r w:rsidRPr="00245502">
        <w:rPr>
          <w:rFonts w:ascii="Times New Roman" w:eastAsia="Calibri" w:hAnsi="Times New Roman" w:cs="Times New Roman"/>
          <w:sz w:val="24"/>
          <w:szCs w:val="24"/>
        </w:rPr>
        <w:t xml:space="preserve">výslovná regulácia možnosti </w:t>
      </w:r>
      <w:r w:rsidR="00325DA2">
        <w:rPr>
          <w:rFonts w:ascii="Times New Roman" w:eastAsia="Calibri" w:hAnsi="Times New Roman" w:cs="Times New Roman"/>
          <w:sz w:val="24"/>
          <w:szCs w:val="24"/>
        </w:rPr>
        <w:t>postúpiť len časť pohľadávky</w:t>
      </w:r>
      <w:r w:rsidRPr="00245502">
        <w:rPr>
          <w:rFonts w:ascii="Times New Roman" w:eastAsia="Calibri" w:hAnsi="Times New Roman" w:cs="Times New Roman"/>
          <w:sz w:val="24"/>
          <w:szCs w:val="24"/>
        </w:rPr>
        <w:t>.</w:t>
      </w:r>
    </w:p>
    <w:p w14:paraId="20E0746F" w14:textId="3D93ADBB" w:rsidR="006D7590" w:rsidRPr="003F754E" w:rsidRDefault="006D7590" w:rsidP="00E47467">
      <w:pPr>
        <w:jc w:val="both"/>
        <w:rPr>
          <w:rFonts w:ascii="Times New Roman" w:eastAsia="Times New Roman" w:hAnsi="Times New Roman" w:cs="Times New Roman"/>
          <w:color w:val="000000"/>
          <w:sz w:val="24"/>
          <w:szCs w:val="24"/>
        </w:rPr>
      </w:pPr>
      <w:r w:rsidRPr="000B5FE6">
        <w:rPr>
          <w:rFonts w:ascii="Times New Roman" w:hAnsi="Times New Roman" w:cs="Times New Roman"/>
          <w:color w:val="000000"/>
          <w:sz w:val="24"/>
          <w:szCs w:val="24"/>
        </w:rPr>
        <w:t xml:space="preserve">Predkladateľ považuje zvýšenie právnej istoty za </w:t>
      </w:r>
      <w:r w:rsidR="00943268" w:rsidRPr="000B5FE6">
        <w:rPr>
          <w:rFonts w:ascii="Times New Roman" w:hAnsi="Times New Roman" w:cs="Times New Roman"/>
          <w:color w:val="000000"/>
          <w:sz w:val="24"/>
          <w:szCs w:val="24"/>
        </w:rPr>
        <w:t>element, ktorý</w:t>
      </w:r>
      <w:r w:rsidR="00943268" w:rsidRPr="000B5FE6">
        <w:rPr>
          <w:rFonts w:ascii="Times New Roman" w:eastAsia="Times New Roman" w:hAnsi="Times New Roman" w:cs="Times New Roman"/>
          <w:color w:val="000000"/>
          <w:sz w:val="24"/>
          <w:szCs w:val="24"/>
        </w:rPr>
        <w:t xml:space="preserve"> môže viesť k zníženiu počtu</w:t>
      </w:r>
      <w:r w:rsidR="00943268" w:rsidRPr="00943268">
        <w:rPr>
          <w:rFonts w:ascii="Times New Roman" w:eastAsia="Times New Roman" w:hAnsi="Times New Roman" w:cs="Times New Roman"/>
          <w:color w:val="000000"/>
          <w:sz w:val="24"/>
          <w:szCs w:val="24"/>
        </w:rPr>
        <w:t xml:space="preserve"> súdnych sporov medzi podnikateľskými subjektmi. Tento predpoklad vychádza jednak z cieľov </w:t>
      </w:r>
      <w:r w:rsidR="00943268" w:rsidRPr="000B5FE6">
        <w:rPr>
          <w:rFonts w:ascii="Times New Roman" w:eastAsia="Times New Roman" w:hAnsi="Times New Roman" w:cs="Times New Roman"/>
          <w:sz w:val="24"/>
          <w:szCs w:val="24"/>
        </w:rPr>
        <w:t xml:space="preserve">navrhovanej právnej úpravy, ako aj zo skúseností štátov, ktoré v minulosti pristúpili k rekodifikácii civilného práva. Pri odhade boli zohľadnené dostupné štatistické údaje zo </w:t>
      </w:r>
      <w:hyperlink r:id="rId11" w:history="1">
        <w:r w:rsidR="00943268" w:rsidRPr="000B5FE6">
          <w:rPr>
            <w:rStyle w:val="Hypertextovprepojenie"/>
            <w:rFonts w:ascii="Times New Roman" w:eastAsia="Times New Roman" w:hAnsi="Times New Roman" w:cs="Times New Roman"/>
            <w:color w:val="auto"/>
            <w:sz w:val="24"/>
            <w:szCs w:val="24"/>
            <w:u w:val="none"/>
          </w:rPr>
          <w:t>súdnej štatistiky</w:t>
        </w:r>
      </w:hyperlink>
      <w:r w:rsidR="00943268">
        <w:rPr>
          <w:rFonts w:ascii="Times New Roman" w:eastAsia="Times New Roman" w:hAnsi="Times New Roman" w:cs="Times New Roman"/>
          <w:color w:val="000000"/>
          <w:sz w:val="24"/>
          <w:szCs w:val="24"/>
        </w:rPr>
        <w:t xml:space="preserve"> podľa ktorej súdy v </w:t>
      </w:r>
      <w:r w:rsidR="00943268" w:rsidRPr="00151ECF">
        <w:rPr>
          <w:rFonts w:ascii="Times New Roman" w:eastAsia="Times New Roman" w:hAnsi="Times New Roman" w:cs="Times New Roman"/>
          <w:color w:val="000000"/>
          <w:sz w:val="24"/>
          <w:szCs w:val="24"/>
        </w:rPr>
        <w:t>roku 2024 vybavili 63 777 sporov, a to vrátane obchodnoprávnej agendy.</w:t>
      </w:r>
      <w:r w:rsidRPr="00151ECF">
        <w:rPr>
          <w:rFonts w:ascii="Times New Roman" w:hAnsi="Times New Roman" w:cs="Times New Roman"/>
          <w:color w:val="000000"/>
          <w:sz w:val="24"/>
          <w:szCs w:val="24"/>
          <w:u w:val="single"/>
        </w:rPr>
        <w:t xml:space="preserve"> </w:t>
      </w:r>
    </w:p>
    <w:p w14:paraId="6E5308E4" w14:textId="77777777" w:rsidR="006D7590" w:rsidRPr="003F754E" w:rsidRDefault="006D7590" w:rsidP="006D7590">
      <w:pPr>
        <w:jc w:val="both"/>
        <w:rPr>
          <w:rFonts w:ascii="Times New Roman" w:eastAsia="Calibri" w:hAnsi="Times New Roman" w:cs="Times New Roman"/>
          <w:bCs/>
          <w:iCs/>
          <w:color w:val="000000"/>
          <w:sz w:val="24"/>
          <w:szCs w:val="24"/>
        </w:rPr>
      </w:pPr>
      <w:r w:rsidRPr="003F754E">
        <w:rPr>
          <w:rFonts w:ascii="Times New Roman" w:eastAsia="Calibri" w:hAnsi="Times New Roman" w:cs="Times New Roman"/>
          <w:bCs/>
          <w:iCs/>
          <w:color w:val="000000"/>
          <w:sz w:val="24"/>
          <w:szCs w:val="24"/>
        </w:rPr>
        <w:t xml:space="preserve">Predkladateľ pri posudzovaní vplyvov na podnikateľské prostredie v časti Nepriame finančné náklady, pokuty a sankcie zvolil Iné nepriame náklady vo výške 25 eur na podnikateľa pri nepravidelnej frekvencii. </w:t>
      </w:r>
    </w:p>
    <w:p w14:paraId="0288FE5B" w14:textId="10FA8362" w:rsidR="006D7590" w:rsidRPr="003F754E" w:rsidRDefault="006D7590" w:rsidP="006D7590">
      <w:pPr>
        <w:jc w:val="both"/>
        <w:rPr>
          <w:rFonts w:ascii="Times New Roman" w:eastAsia="Calibri" w:hAnsi="Times New Roman" w:cs="Times New Roman"/>
          <w:bCs/>
          <w:iCs/>
          <w:color w:val="000000"/>
          <w:sz w:val="24"/>
          <w:szCs w:val="24"/>
        </w:rPr>
      </w:pPr>
      <w:r w:rsidRPr="003F754E">
        <w:rPr>
          <w:rFonts w:ascii="Times New Roman" w:eastAsia="Calibri" w:hAnsi="Times New Roman" w:cs="Times New Roman"/>
          <w:bCs/>
          <w:iCs/>
          <w:color w:val="000000"/>
          <w:sz w:val="24"/>
          <w:szCs w:val="24"/>
        </w:rPr>
        <w:t xml:space="preserve">Výška nepriameho nákladu predstavuje </w:t>
      </w:r>
      <w:r w:rsidR="00151ECF" w:rsidRPr="003F754E">
        <w:rPr>
          <w:rFonts w:ascii="Times New Roman" w:eastAsia="Calibri" w:hAnsi="Times New Roman" w:cs="Times New Roman"/>
          <w:bCs/>
          <w:iCs/>
          <w:color w:val="000000"/>
          <w:sz w:val="24"/>
          <w:szCs w:val="24"/>
        </w:rPr>
        <w:t xml:space="preserve">konzervatívny </w:t>
      </w:r>
      <w:r w:rsidRPr="003F754E">
        <w:rPr>
          <w:rFonts w:ascii="Times New Roman" w:eastAsia="Calibri" w:hAnsi="Times New Roman" w:cs="Times New Roman"/>
          <w:bCs/>
          <w:iCs/>
          <w:color w:val="000000"/>
          <w:sz w:val="24"/>
          <w:szCs w:val="24"/>
        </w:rPr>
        <w:t>odhad, spočívajúci v znížení nákladu spojeného s podaním návrhu na súd v prípade sporu (minimálna výška súdneho poplatku podľa zákona č. 71/1992 Zb. o súdnych poplatkoch a poplatku za výpis z registra trestov v znení neskorších predpisov</w:t>
      </w:r>
      <w:r w:rsidR="00A948AC">
        <w:rPr>
          <w:rFonts w:ascii="Times New Roman" w:eastAsia="Calibri" w:hAnsi="Times New Roman" w:cs="Times New Roman"/>
          <w:bCs/>
          <w:iCs/>
          <w:color w:val="000000"/>
          <w:sz w:val="24"/>
          <w:szCs w:val="24"/>
        </w:rPr>
        <w:t>)</w:t>
      </w:r>
      <w:r w:rsidRPr="003F754E">
        <w:rPr>
          <w:rFonts w:ascii="Times New Roman" w:eastAsia="Calibri" w:hAnsi="Times New Roman" w:cs="Times New Roman"/>
          <w:bCs/>
          <w:iCs/>
          <w:color w:val="000000"/>
          <w:sz w:val="24"/>
          <w:szCs w:val="24"/>
        </w:rPr>
        <w:t xml:space="preserve">. Nepravidelná frekvencia bola zvolená za predpokladu, že každý podnikateľ v určitom momente bude </w:t>
      </w:r>
      <w:proofErr w:type="spellStart"/>
      <w:r w:rsidRPr="003F754E">
        <w:rPr>
          <w:rFonts w:ascii="Times New Roman" w:eastAsia="Calibri" w:hAnsi="Times New Roman" w:cs="Times New Roman"/>
          <w:bCs/>
          <w:iCs/>
          <w:color w:val="000000"/>
          <w:sz w:val="24"/>
          <w:szCs w:val="24"/>
        </w:rPr>
        <w:t>benefitovať</w:t>
      </w:r>
      <w:proofErr w:type="spellEnd"/>
      <w:r w:rsidRPr="003F754E">
        <w:rPr>
          <w:rFonts w:ascii="Times New Roman" w:eastAsia="Calibri" w:hAnsi="Times New Roman" w:cs="Times New Roman"/>
          <w:bCs/>
          <w:iCs/>
          <w:color w:val="000000"/>
          <w:sz w:val="24"/>
          <w:szCs w:val="24"/>
        </w:rPr>
        <w:t xml:space="preserve"> zo zvýšenej právnej istoty, nakoľko by musel </w:t>
      </w:r>
      <w:r w:rsidR="00A948AC">
        <w:rPr>
          <w:rFonts w:ascii="Times New Roman" w:eastAsia="Calibri" w:hAnsi="Times New Roman" w:cs="Times New Roman"/>
          <w:bCs/>
          <w:iCs/>
          <w:color w:val="000000"/>
          <w:sz w:val="24"/>
          <w:szCs w:val="24"/>
        </w:rPr>
        <w:t>so svojím sporom</w:t>
      </w:r>
      <w:r w:rsidRPr="003F754E">
        <w:rPr>
          <w:rFonts w:ascii="Times New Roman" w:eastAsia="Calibri" w:hAnsi="Times New Roman" w:cs="Times New Roman"/>
          <w:bCs/>
          <w:iCs/>
          <w:color w:val="000000"/>
          <w:sz w:val="24"/>
          <w:szCs w:val="24"/>
        </w:rPr>
        <w:t xml:space="preserve"> obrátiť sa na súd. Tento odhad bol volený ako </w:t>
      </w:r>
      <w:r w:rsidRPr="003F754E">
        <w:rPr>
          <w:rFonts w:ascii="Times New Roman" w:eastAsia="Calibri" w:hAnsi="Times New Roman" w:cs="Times New Roman"/>
          <w:sz w:val="24"/>
          <w:szCs w:val="24"/>
        </w:rPr>
        <w:t xml:space="preserve">stredná cesta odhadu. V tomto smere tak predkladateľ predpokladá, že takýto predpoklad vyrovná dopad v rôznych životných situáciách, s ktorými sa podnikatelia pri výkone svojej činnosti stretávajú. </w:t>
      </w:r>
    </w:p>
    <w:p w14:paraId="22C7CFD8" w14:textId="065EA249" w:rsidR="00151ECF" w:rsidRDefault="00151ECF" w:rsidP="006D7590">
      <w:pPr>
        <w:jc w:val="both"/>
        <w:rPr>
          <w:rFonts w:ascii="Times New Roman" w:eastAsia="Calibri" w:hAnsi="Times New Roman" w:cs="Times New Roman"/>
          <w:bCs/>
          <w:iCs/>
          <w:color w:val="000000"/>
          <w:sz w:val="24"/>
          <w:szCs w:val="24"/>
        </w:rPr>
      </w:pPr>
      <w:r w:rsidRPr="00A948AC">
        <w:rPr>
          <w:rFonts w:ascii="Times New Roman" w:eastAsia="Calibri" w:hAnsi="Times New Roman" w:cs="Times New Roman"/>
          <w:bCs/>
          <w:iCs/>
          <w:color w:val="000000"/>
          <w:sz w:val="24"/>
          <w:szCs w:val="24"/>
        </w:rPr>
        <w:t>Rovnako konzervatívne sa uvažuje s úsporou 60 minút, pričom ide o jednorazovú úsporu. Zvolený časový rozsah zároveň nadväzuje na nízku náročnosť použitú pri Regulácii č. 1 a predstavuje odhad zohľadňujúci neurčitosť budúceho vývoja. Očakáva sa úspora času podnikateľov, ktorí by inak museli vynaložiť čas na úkony súvisiace so</w:t>
      </w:r>
      <w:r w:rsidRPr="00151ECF">
        <w:rPr>
          <w:rFonts w:ascii="Times New Roman" w:eastAsia="Calibri" w:hAnsi="Times New Roman" w:cs="Times New Roman"/>
          <w:bCs/>
          <w:iCs/>
          <w:color w:val="000000"/>
          <w:sz w:val="24"/>
          <w:szCs w:val="24"/>
        </w:rPr>
        <w:t xml:space="preserve"> vznikom a riešením sporu (napr. komunikácia, príprava podkladov, konzultácie).</w:t>
      </w:r>
    </w:p>
    <w:p w14:paraId="7F2BF22A" w14:textId="0CBCD63D" w:rsidR="006D7590" w:rsidRDefault="006D7590" w:rsidP="00E47467">
      <w:pPr>
        <w:jc w:val="both"/>
        <w:rPr>
          <w:rFonts w:ascii="Times New Roman" w:hAnsi="Times New Roman" w:cs="Times New Roman"/>
          <w:b/>
          <w:color w:val="000000"/>
          <w:sz w:val="24"/>
          <w:szCs w:val="24"/>
        </w:rPr>
      </w:pPr>
      <w:r w:rsidRPr="006D7590">
        <w:rPr>
          <w:rFonts w:ascii="Times New Roman" w:hAnsi="Times New Roman" w:cs="Times New Roman"/>
          <w:b/>
          <w:color w:val="000000"/>
          <w:sz w:val="24"/>
          <w:szCs w:val="24"/>
        </w:rPr>
        <w:t>Regulácia č. 3 – Úspora času pri preverovaní právnych rizík</w:t>
      </w:r>
    </w:p>
    <w:p w14:paraId="2BEED3EF" w14:textId="19103627" w:rsidR="00ED2D58" w:rsidRDefault="00151ECF" w:rsidP="008342BB">
      <w:pPr>
        <w:spacing w:after="0" w:line="254"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V súvislosti s odhadovaným zvýšením právnej istoty súvisiacej s ustanoveniami návrhu sa ako </w:t>
      </w:r>
      <w:r w:rsidRPr="00151ECF">
        <w:rPr>
          <w:rFonts w:ascii="Times New Roman" w:eastAsia="Calibri" w:hAnsi="Times New Roman" w:cs="Times New Roman"/>
          <w:sz w:val="24"/>
          <w:szCs w:val="24"/>
        </w:rPr>
        <w:t xml:space="preserve">systémový pozitívny vplyv </w:t>
      </w:r>
      <w:r>
        <w:rPr>
          <w:rFonts w:ascii="Times New Roman" w:eastAsia="Calibri" w:hAnsi="Times New Roman" w:cs="Times New Roman"/>
          <w:sz w:val="24"/>
          <w:szCs w:val="24"/>
        </w:rPr>
        <w:t>odhaduje aj úspora času pri preverovaní právnych rizík</w:t>
      </w:r>
      <w:r w:rsidR="00A948AC">
        <w:rPr>
          <w:rFonts w:ascii="Times New Roman" w:eastAsia="Calibri" w:hAnsi="Times New Roman" w:cs="Times New Roman"/>
          <w:sz w:val="24"/>
          <w:szCs w:val="24"/>
        </w:rPr>
        <w:t>, čím sa znižujú transakčné náklady podnikateľov</w:t>
      </w:r>
      <w:r>
        <w:rPr>
          <w:rFonts w:ascii="Times New Roman" w:eastAsia="Calibri" w:hAnsi="Times New Roman" w:cs="Times New Roman"/>
          <w:sz w:val="24"/>
          <w:szCs w:val="24"/>
        </w:rPr>
        <w:t>. Táto kvantifikácia</w:t>
      </w:r>
      <w:r w:rsidRPr="00151ECF">
        <w:rPr>
          <w:rFonts w:ascii="Times New Roman" w:eastAsia="Calibri" w:hAnsi="Times New Roman" w:cs="Times New Roman"/>
          <w:sz w:val="24"/>
          <w:szCs w:val="24"/>
        </w:rPr>
        <w:t xml:space="preserve"> nadväzuje na predchádzajúce regulácie. Vychádza z predpokladu, že navrhovaný nový Občiansky zákonník prispeje k zjednodušeniu a sprehľadneniu právneho rámca, keďže preberá pod seba viaceré doteraz samostatné právne predpisy a predstavuje modernejšiu a systematickejšiu úpravu civilnoprávnych vzťahov.</w:t>
      </w:r>
    </w:p>
    <w:p w14:paraId="23696DB5" w14:textId="580CC68E" w:rsidR="00151ECF" w:rsidRDefault="00151ECF" w:rsidP="008342BB">
      <w:pPr>
        <w:spacing w:after="0" w:line="254" w:lineRule="auto"/>
        <w:jc w:val="both"/>
        <w:rPr>
          <w:rFonts w:ascii="Times New Roman" w:eastAsia="Calibri" w:hAnsi="Times New Roman" w:cs="Times New Roman"/>
          <w:sz w:val="24"/>
          <w:szCs w:val="24"/>
        </w:rPr>
      </w:pPr>
    </w:p>
    <w:p w14:paraId="4BBE19B1" w14:textId="77777777" w:rsidR="006D7590" w:rsidRPr="00151ECF" w:rsidRDefault="00ED2D58" w:rsidP="006D7590">
      <w:pPr>
        <w:spacing w:line="254" w:lineRule="auto"/>
        <w:jc w:val="both"/>
        <w:rPr>
          <w:rFonts w:ascii="Times New Roman" w:eastAsia="Calibri" w:hAnsi="Times New Roman" w:cs="Times New Roman"/>
          <w:sz w:val="24"/>
          <w:szCs w:val="24"/>
          <w:highlight w:val="yellow"/>
        </w:rPr>
      </w:pPr>
      <w:r w:rsidRPr="00A948AC">
        <w:rPr>
          <w:rFonts w:ascii="Times New Roman" w:eastAsia="Calibri" w:hAnsi="Times New Roman" w:cs="Times New Roman"/>
          <w:sz w:val="24"/>
          <w:szCs w:val="24"/>
        </w:rPr>
        <w:t>Ako počet subjektov, na ktoré bude mať návrh pozitívny vplyv (</w:t>
      </w:r>
      <w:proofErr w:type="spellStart"/>
      <w:r w:rsidRPr="00A948AC">
        <w:rPr>
          <w:rFonts w:ascii="Times New Roman" w:eastAsia="Calibri" w:hAnsi="Times New Roman" w:cs="Times New Roman"/>
          <w:sz w:val="24"/>
          <w:szCs w:val="24"/>
        </w:rPr>
        <w:t>Out</w:t>
      </w:r>
      <w:proofErr w:type="spellEnd"/>
      <w:r w:rsidRPr="00A948AC">
        <w:rPr>
          <w:rFonts w:ascii="Times New Roman" w:eastAsia="Calibri" w:hAnsi="Times New Roman" w:cs="Times New Roman"/>
          <w:sz w:val="24"/>
          <w:szCs w:val="24"/>
        </w:rPr>
        <w:t xml:space="preserve">), uvádza predkladateľ počet 700 000 </w:t>
      </w:r>
      <w:r w:rsidR="006D7590" w:rsidRPr="00A948AC">
        <w:rPr>
          <w:rFonts w:ascii="Times New Roman" w:eastAsia="Times New Roman" w:hAnsi="Times New Roman" w:cs="Times New Roman"/>
          <w:color w:val="000000"/>
          <w:sz w:val="24"/>
          <w:szCs w:val="24"/>
        </w:rPr>
        <w:t>pričom tento údaj predstavuje odhad vychádzajúci z dát Štatistického úradu Slovenskej republiky (ekonomické</w:t>
      </w:r>
      <w:r w:rsidR="006D7590" w:rsidRPr="00151ECF">
        <w:rPr>
          <w:rFonts w:ascii="Times New Roman" w:eastAsia="Times New Roman" w:hAnsi="Times New Roman" w:cs="Times New Roman"/>
          <w:color w:val="000000"/>
          <w:sz w:val="24"/>
          <w:szCs w:val="24"/>
        </w:rPr>
        <w:t xml:space="preserve"> subjekty podľa právnych foriem</w:t>
      </w:r>
      <w:r w:rsidR="006D7590" w:rsidRPr="00325DA2">
        <w:rPr>
          <w:rFonts w:ascii="Times New Roman" w:eastAsia="Times New Roman" w:hAnsi="Times New Roman" w:cs="Times New Roman"/>
          <w:color w:val="000000"/>
          <w:sz w:val="24"/>
          <w:szCs w:val="24"/>
        </w:rPr>
        <w:t>)</w:t>
      </w:r>
      <w:r w:rsidR="006D7590" w:rsidRPr="00325DA2">
        <w:rPr>
          <w:rFonts w:ascii="Times New Roman" w:eastAsia="Calibri" w:hAnsi="Times New Roman" w:cs="Times New Roman"/>
          <w:sz w:val="24"/>
          <w:szCs w:val="24"/>
        </w:rPr>
        <w:t>.</w:t>
      </w:r>
      <w:r w:rsidR="006D7590" w:rsidRPr="00151ECF">
        <w:rPr>
          <w:rFonts w:ascii="Times New Roman" w:eastAsia="Calibri" w:hAnsi="Times New Roman" w:cs="Times New Roman"/>
          <w:sz w:val="24"/>
          <w:szCs w:val="24"/>
          <w:highlight w:val="yellow"/>
        </w:rPr>
        <w:t xml:space="preserve"> </w:t>
      </w:r>
    </w:p>
    <w:p w14:paraId="0DA7318B" w14:textId="607FFFA5" w:rsidR="00151ECF" w:rsidRPr="00325DA2" w:rsidRDefault="00151ECF" w:rsidP="00325DA2">
      <w:pPr>
        <w:rPr>
          <w:rFonts w:ascii="Times New Roman" w:eastAsia="Times New Roman" w:hAnsi="Times New Roman" w:cs="Times New Roman"/>
          <w:color w:val="000000"/>
          <w:sz w:val="24"/>
          <w:szCs w:val="24"/>
        </w:rPr>
      </w:pPr>
      <w:r w:rsidRPr="00151ECF">
        <w:rPr>
          <w:rFonts w:ascii="Times New Roman" w:eastAsia="Times New Roman" w:hAnsi="Times New Roman" w:cs="Times New Roman"/>
          <w:color w:val="000000"/>
          <w:sz w:val="24"/>
          <w:szCs w:val="24"/>
        </w:rPr>
        <w:lastRenderedPageBreak/>
        <w:t xml:space="preserve"> Aj v tomto prípade bol zvolený expertný odhad úspory času vo výške 60 minút. Považujeme ho za primeraný, nakoľko zohľadňuje plošný charakter dopadu a uľahčenie orientácie v právnom rámci pre všetky subjekty.</w:t>
      </w:r>
    </w:p>
    <w:p w14:paraId="0EB298DB" w14:textId="77777777" w:rsidR="00512BA7" w:rsidRPr="00B24EFE" w:rsidRDefault="00511F8F" w:rsidP="00512BA7">
      <w:pPr>
        <w:jc w:val="both"/>
        <w:rPr>
          <w:rFonts w:ascii="Times New Roman" w:eastAsia="Calibri" w:hAnsi="Times New Roman" w:cs="Times New Roman"/>
          <w:b/>
          <w:bCs/>
          <w:i/>
          <w:sz w:val="24"/>
          <w:szCs w:val="24"/>
          <w:u w:val="single"/>
        </w:rPr>
      </w:pPr>
      <w:r w:rsidRPr="00B24EFE">
        <w:rPr>
          <w:rFonts w:ascii="Times New Roman" w:eastAsia="Calibri" w:hAnsi="Times New Roman" w:cs="Times New Roman"/>
          <w:b/>
          <w:bCs/>
          <w:i/>
          <w:sz w:val="24"/>
          <w:szCs w:val="24"/>
          <w:u w:val="single"/>
        </w:rPr>
        <w:t xml:space="preserve">3.1.4 </w:t>
      </w:r>
      <w:r w:rsidR="001E24E8" w:rsidRPr="00B24EFE">
        <w:rPr>
          <w:rFonts w:ascii="Times New Roman" w:eastAsia="Calibri" w:hAnsi="Times New Roman" w:cs="Times New Roman"/>
          <w:b/>
          <w:bCs/>
          <w:i/>
          <w:sz w:val="24"/>
          <w:szCs w:val="24"/>
          <w:u w:val="single"/>
        </w:rPr>
        <w:t>Odôvodnenie</w:t>
      </w:r>
      <w:r w:rsidR="008F6ADE" w:rsidRPr="00B24EFE">
        <w:rPr>
          <w:rFonts w:ascii="Times New Roman" w:eastAsia="Calibri" w:hAnsi="Times New Roman" w:cs="Times New Roman"/>
          <w:b/>
          <w:bCs/>
          <w:i/>
          <w:sz w:val="24"/>
          <w:szCs w:val="24"/>
          <w:u w:val="single"/>
        </w:rPr>
        <w:t xml:space="preserve"> goldplating</w:t>
      </w:r>
      <w:r w:rsidR="0016512E" w:rsidRPr="00B24EFE">
        <w:rPr>
          <w:rFonts w:ascii="Times New Roman" w:eastAsia="Calibri" w:hAnsi="Times New Roman" w:cs="Times New Roman"/>
          <w:b/>
          <w:bCs/>
          <w:i/>
          <w:sz w:val="24"/>
          <w:szCs w:val="24"/>
          <w:u w:val="single"/>
        </w:rPr>
        <w:t>u</w:t>
      </w:r>
      <w:r w:rsidR="001E24E8" w:rsidRPr="00B24EFE">
        <w:rPr>
          <w:rFonts w:ascii="Times New Roman" w:eastAsia="Calibri" w:hAnsi="Times New Roman" w:cs="Times New Roman"/>
          <w:b/>
          <w:bCs/>
          <w:i/>
          <w:sz w:val="24"/>
          <w:szCs w:val="24"/>
          <w:u w:val="single"/>
        </w:rPr>
        <w:t xml:space="preserve"> </w:t>
      </w:r>
      <w:r w:rsidR="008F6ADE" w:rsidRPr="00B24EFE">
        <w:rPr>
          <w:rFonts w:ascii="Times New Roman" w:eastAsia="Calibri" w:hAnsi="Times New Roman" w:cs="Times New Roman"/>
          <w:b/>
          <w:bCs/>
          <w:i/>
          <w:sz w:val="24"/>
          <w:szCs w:val="24"/>
          <w:u w:val="single"/>
        </w:rPr>
        <w:t xml:space="preserve">podľa bodu 4 časti III </w:t>
      </w:r>
      <w:r w:rsidR="00FA6FFE" w:rsidRPr="00B24EFE">
        <w:rPr>
          <w:rFonts w:ascii="Times New Roman" w:eastAsia="Calibri" w:hAnsi="Times New Roman" w:cs="Times New Roman"/>
          <w:b/>
          <w:bCs/>
          <w:i/>
          <w:sz w:val="24"/>
          <w:szCs w:val="24"/>
          <w:u w:val="single"/>
        </w:rPr>
        <w:t>j</w:t>
      </w:r>
      <w:r w:rsidR="001E24E8" w:rsidRPr="00B24EFE">
        <w:rPr>
          <w:rFonts w:ascii="Times New Roman" w:eastAsia="Calibri" w:hAnsi="Times New Roman" w:cs="Times New Roman"/>
          <w:b/>
          <w:bCs/>
          <w:i/>
          <w:sz w:val="24"/>
          <w:szCs w:val="24"/>
          <w:u w:val="single"/>
        </w:rPr>
        <w:t xml:space="preserve">ednotnej metodiky </w:t>
      </w:r>
      <w:r w:rsidR="00400BA5" w:rsidRPr="00B24EFE">
        <w:rPr>
          <w:rFonts w:ascii="Times New Roman" w:eastAsia="Calibri" w:hAnsi="Times New Roman" w:cs="Times New Roman"/>
          <w:b/>
          <w:bCs/>
          <w:i/>
          <w:sz w:val="24"/>
          <w:szCs w:val="24"/>
          <w:u w:val="single"/>
        </w:rPr>
        <w:t>a </w:t>
      </w:r>
      <w:r w:rsidR="00B21D1F" w:rsidRPr="00B24EFE">
        <w:rPr>
          <w:rFonts w:ascii="Times New Roman" w:eastAsia="Calibri" w:hAnsi="Times New Roman" w:cs="Times New Roman"/>
          <w:b/>
          <w:bCs/>
          <w:i/>
          <w:sz w:val="24"/>
          <w:szCs w:val="24"/>
          <w:u w:val="single"/>
        </w:rPr>
        <w:t>ďalšie</w:t>
      </w:r>
      <w:r w:rsidR="00400BA5" w:rsidRPr="00B24EFE">
        <w:rPr>
          <w:rFonts w:ascii="Times New Roman" w:eastAsia="Calibri" w:hAnsi="Times New Roman" w:cs="Times New Roman"/>
          <w:b/>
          <w:bCs/>
          <w:i/>
          <w:sz w:val="24"/>
          <w:szCs w:val="24"/>
          <w:u w:val="single"/>
        </w:rPr>
        <w:t xml:space="preserve"> d</w:t>
      </w:r>
      <w:r w:rsidR="00512BA7" w:rsidRPr="00B24EFE">
        <w:rPr>
          <w:rFonts w:ascii="Times New Roman" w:eastAsia="Calibri" w:hAnsi="Times New Roman" w:cs="Times New Roman"/>
          <w:b/>
          <w:bCs/>
          <w:i/>
          <w:sz w:val="24"/>
          <w:szCs w:val="24"/>
          <w:u w:val="single"/>
        </w:rPr>
        <w:t>oplňujúce informácie</w:t>
      </w:r>
      <w:r w:rsidR="00512BA7" w:rsidRPr="00B24EFE">
        <w:rPr>
          <w:rStyle w:val="Odkaznapoznmkupodiarou"/>
          <w:rFonts w:ascii="Times New Roman" w:eastAsia="Calibri" w:hAnsi="Times New Roman" w:cs="Times New Roman"/>
          <w:b/>
          <w:bCs/>
          <w:i/>
          <w:sz w:val="24"/>
          <w:szCs w:val="24"/>
          <w:u w:val="single"/>
        </w:rPr>
        <w:footnoteReference w:id="2"/>
      </w:r>
      <w:r w:rsidR="00512BA7" w:rsidRPr="00B24EFE">
        <w:rPr>
          <w:rFonts w:ascii="Times New Roman" w:eastAsia="Calibri" w:hAnsi="Times New Roman" w:cs="Times New Roman"/>
          <w:b/>
          <w:bCs/>
          <w:i/>
          <w:sz w:val="24"/>
          <w:szCs w:val="24"/>
          <w:u w:val="single"/>
        </w:rPr>
        <w:t xml:space="preserve"> </w:t>
      </w:r>
    </w:p>
    <w:p w14:paraId="749EC593" w14:textId="77777777" w:rsidR="000C5419" w:rsidRPr="00B24EFE" w:rsidRDefault="000C5419" w:rsidP="000C5419">
      <w:pPr>
        <w:jc w:val="both"/>
        <w:rPr>
          <w:rFonts w:ascii="Times New Roman" w:eastAsia="Calibri" w:hAnsi="Times New Roman" w:cs="Times New Roman"/>
          <w:bCs/>
          <w:i/>
          <w:iCs/>
          <w:color w:val="000000"/>
          <w:sz w:val="24"/>
          <w:szCs w:val="24"/>
        </w:rPr>
      </w:pPr>
      <w:r w:rsidRPr="00B24EFE">
        <w:rPr>
          <w:rFonts w:ascii="Times New Roman" w:eastAsia="Calibri" w:hAnsi="Times New Roman" w:cs="Times New Roman"/>
          <w:bCs/>
          <w:i/>
          <w:iCs/>
          <w:color w:val="000000"/>
          <w:sz w:val="24"/>
          <w:szCs w:val="24"/>
        </w:rPr>
        <w:t xml:space="preserve">Požadované informácie </w:t>
      </w:r>
      <w:r w:rsidR="00F153D7" w:rsidRPr="00B24EFE">
        <w:rPr>
          <w:rFonts w:ascii="Times New Roman" w:eastAsia="Calibri" w:hAnsi="Times New Roman" w:cs="Times New Roman"/>
          <w:bCs/>
          <w:i/>
          <w:iCs/>
          <w:color w:val="000000"/>
          <w:sz w:val="24"/>
          <w:szCs w:val="24"/>
        </w:rPr>
        <w:t>uveďte</w:t>
      </w:r>
      <w:r w:rsidRPr="00B24EFE">
        <w:rPr>
          <w:rFonts w:ascii="Times New Roman" w:eastAsia="Calibri" w:hAnsi="Times New Roman" w:cs="Times New Roman"/>
          <w:bCs/>
          <w:i/>
          <w:iCs/>
          <w:color w:val="000000"/>
          <w:sz w:val="24"/>
          <w:szCs w:val="24"/>
        </w:rPr>
        <w:t xml:space="preserve"> osobitne ku každému identifikovanému goldplatingu (ku každej hodnotenej regulácii s </w:t>
      </w:r>
      <w:proofErr w:type="spellStart"/>
      <w:r w:rsidRPr="00B24EFE">
        <w:rPr>
          <w:rFonts w:ascii="Times New Roman" w:eastAsia="Calibri" w:hAnsi="Times New Roman" w:cs="Times New Roman"/>
          <w:bCs/>
          <w:i/>
          <w:iCs/>
          <w:color w:val="000000"/>
          <w:sz w:val="24"/>
          <w:szCs w:val="24"/>
        </w:rPr>
        <w:t>goldplatingom</w:t>
      </w:r>
      <w:proofErr w:type="spellEnd"/>
      <w:r w:rsidRPr="00B24EFE">
        <w:rPr>
          <w:rFonts w:ascii="Times New Roman" w:eastAsia="Calibri" w:hAnsi="Times New Roman" w:cs="Times New Roman"/>
          <w:bCs/>
          <w:i/>
          <w:iCs/>
          <w:color w:val="000000"/>
          <w:sz w:val="24"/>
          <w:szCs w:val="24"/>
        </w:rPr>
        <w:t xml:space="preserve"> osobitne). </w:t>
      </w:r>
    </w:p>
    <w:p w14:paraId="0A0E8534" w14:textId="426D12B1" w:rsidR="0016512E" w:rsidRPr="00B24EFE" w:rsidRDefault="0016512E" w:rsidP="0016512E">
      <w:pPr>
        <w:jc w:val="both"/>
        <w:rPr>
          <w:rFonts w:ascii="Times New Roman" w:eastAsia="Calibri" w:hAnsi="Times New Roman" w:cs="Times New Roman"/>
          <w:bCs/>
          <w:i/>
          <w:iCs/>
          <w:color w:val="000000"/>
          <w:sz w:val="24"/>
          <w:szCs w:val="24"/>
        </w:rPr>
      </w:pPr>
      <w:r w:rsidRPr="00B24EFE">
        <w:rPr>
          <w:rFonts w:ascii="Times New Roman" w:eastAsia="Calibri" w:hAnsi="Times New Roman" w:cs="Times New Roman"/>
          <w:bCs/>
          <w:i/>
          <w:iCs/>
          <w:color w:val="000000"/>
          <w:sz w:val="24"/>
          <w:szCs w:val="24"/>
        </w:rPr>
        <w:t>Uveďte</w:t>
      </w:r>
      <w:r w:rsidR="004239D1" w:rsidRPr="00B24EFE">
        <w:rPr>
          <w:rFonts w:ascii="Times New Roman" w:eastAsia="Calibri" w:hAnsi="Times New Roman" w:cs="Times New Roman"/>
          <w:bCs/>
          <w:i/>
          <w:iCs/>
          <w:color w:val="000000"/>
          <w:sz w:val="24"/>
          <w:szCs w:val="24"/>
        </w:rPr>
        <w:t xml:space="preserve"> odôvodnenie goldplatingu z hľadiska jeho nespochybniteľnej nevyhnutnosti.</w:t>
      </w:r>
      <w:r w:rsidRPr="00B24EFE">
        <w:rPr>
          <w:rFonts w:ascii="Times New Roman" w:eastAsia="Calibri" w:hAnsi="Times New Roman" w:cs="Times New Roman"/>
          <w:bCs/>
          <w:i/>
          <w:iCs/>
          <w:color w:val="000000"/>
          <w:sz w:val="24"/>
          <w:szCs w:val="24"/>
        </w:rPr>
        <w:t xml:space="preserve"> Odôvodnenie doložte dôkladným hodnotením prínosov a</w:t>
      </w:r>
      <w:r w:rsidR="005D39D8" w:rsidRPr="00B24EFE">
        <w:rPr>
          <w:rFonts w:ascii="Times New Roman" w:eastAsia="Calibri" w:hAnsi="Times New Roman" w:cs="Times New Roman"/>
          <w:bCs/>
          <w:i/>
          <w:iCs/>
          <w:color w:val="000000"/>
          <w:sz w:val="24"/>
          <w:szCs w:val="24"/>
        </w:rPr>
        <w:t> </w:t>
      </w:r>
      <w:r w:rsidRPr="00B24EFE">
        <w:rPr>
          <w:rFonts w:ascii="Times New Roman" w:eastAsia="Calibri" w:hAnsi="Times New Roman" w:cs="Times New Roman"/>
          <w:bCs/>
          <w:i/>
          <w:iCs/>
          <w:color w:val="000000"/>
          <w:sz w:val="24"/>
          <w:szCs w:val="24"/>
        </w:rPr>
        <w:t>nákladov</w:t>
      </w:r>
      <w:r w:rsidR="005D39D8" w:rsidRPr="00B24EFE">
        <w:rPr>
          <w:rFonts w:ascii="Times New Roman" w:eastAsia="Calibri" w:hAnsi="Times New Roman" w:cs="Times New Roman"/>
          <w:bCs/>
          <w:i/>
          <w:iCs/>
          <w:color w:val="000000"/>
          <w:sz w:val="24"/>
          <w:szCs w:val="24"/>
        </w:rPr>
        <w:t>. Uveďte zvážené alternatívne riešenia</w:t>
      </w:r>
      <w:r w:rsidRPr="00B24EFE">
        <w:rPr>
          <w:rFonts w:ascii="Times New Roman" w:eastAsia="Calibri" w:hAnsi="Times New Roman" w:cs="Times New Roman"/>
          <w:bCs/>
          <w:i/>
          <w:iCs/>
          <w:color w:val="000000"/>
          <w:sz w:val="24"/>
          <w:szCs w:val="24"/>
        </w:rPr>
        <w:t>.</w:t>
      </w:r>
    </w:p>
    <w:p w14:paraId="6A18C579" w14:textId="0633763E" w:rsidR="000C5419" w:rsidRPr="00B24EFE" w:rsidRDefault="00990813" w:rsidP="000C5419">
      <w:pPr>
        <w:jc w:val="both"/>
        <w:rPr>
          <w:rFonts w:ascii="Times New Roman" w:eastAsia="Calibri" w:hAnsi="Times New Roman" w:cs="Times New Roman"/>
          <w:bCs/>
          <w:i/>
          <w:iCs/>
          <w:color w:val="000000"/>
          <w:sz w:val="24"/>
          <w:szCs w:val="24"/>
        </w:rPr>
      </w:pPr>
      <w:r w:rsidRPr="00B24EFE">
        <w:rPr>
          <w:rFonts w:ascii="Times New Roman" w:eastAsia="Calibri" w:hAnsi="Times New Roman" w:cs="Times New Roman"/>
          <w:bCs/>
          <w:i/>
          <w:iCs/>
          <w:color w:val="000000"/>
          <w:sz w:val="24"/>
          <w:szCs w:val="24"/>
        </w:rPr>
        <w:t xml:space="preserve">Zároveň </w:t>
      </w:r>
      <w:r w:rsidR="00D5309D" w:rsidRPr="00B24EFE">
        <w:rPr>
          <w:rFonts w:ascii="Times New Roman" w:eastAsia="Calibri" w:hAnsi="Times New Roman" w:cs="Times New Roman"/>
          <w:bCs/>
          <w:i/>
          <w:iCs/>
          <w:color w:val="000000"/>
          <w:sz w:val="24"/>
          <w:szCs w:val="24"/>
        </w:rPr>
        <w:t>uveďte</w:t>
      </w:r>
      <w:r w:rsidR="000C5419" w:rsidRPr="00B24EFE">
        <w:rPr>
          <w:rFonts w:ascii="Times New Roman" w:eastAsia="Calibri" w:hAnsi="Times New Roman" w:cs="Times New Roman"/>
          <w:bCs/>
          <w:i/>
          <w:iCs/>
          <w:color w:val="000000"/>
          <w:sz w:val="24"/>
          <w:szCs w:val="24"/>
        </w:rPr>
        <w:t xml:space="preserve"> konkrétne informácie súvisiace s </w:t>
      </w:r>
      <w:r w:rsidRPr="00B24EFE">
        <w:rPr>
          <w:rFonts w:ascii="Times New Roman" w:eastAsia="Calibri" w:hAnsi="Times New Roman" w:cs="Times New Roman"/>
          <w:bCs/>
          <w:i/>
          <w:iCs/>
          <w:color w:val="000000"/>
          <w:sz w:val="24"/>
          <w:szCs w:val="24"/>
        </w:rPr>
        <w:t xml:space="preserve">kategóriou </w:t>
      </w:r>
      <w:r w:rsidR="000C5419" w:rsidRPr="00B24EFE">
        <w:rPr>
          <w:rFonts w:ascii="Times New Roman" w:eastAsia="Calibri" w:hAnsi="Times New Roman" w:cs="Times New Roman"/>
          <w:bCs/>
          <w:i/>
          <w:iCs/>
          <w:color w:val="000000"/>
          <w:sz w:val="24"/>
          <w:szCs w:val="24"/>
        </w:rPr>
        <w:t>goldplatingu</w:t>
      </w:r>
      <w:r w:rsidRPr="00B24EFE">
        <w:rPr>
          <w:rFonts w:ascii="Times New Roman" w:eastAsia="Calibri" w:hAnsi="Times New Roman" w:cs="Times New Roman"/>
          <w:bCs/>
          <w:i/>
          <w:iCs/>
          <w:color w:val="000000"/>
          <w:sz w:val="24"/>
          <w:szCs w:val="24"/>
        </w:rPr>
        <w:t xml:space="preserve"> podľa </w:t>
      </w:r>
      <w:r w:rsidR="00D114ED" w:rsidRPr="00B24EFE">
        <w:rPr>
          <w:rFonts w:ascii="Times New Roman" w:eastAsia="Calibri" w:hAnsi="Times New Roman" w:cs="Times New Roman"/>
          <w:bCs/>
          <w:i/>
          <w:iCs/>
          <w:color w:val="000000"/>
          <w:sz w:val="24"/>
          <w:szCs w:val="24"/>
        </w:rPr>
        <w:t>jednotnej metodiky</w:t>
      </w:r>
      <w:r w:rsidR="000C5419" w:rsidRPr="00B24EFE">
        <w:rPr>
          <w:rFonts w:ascii="Times New Roman" w:eastAsia="Calibri" w:hAnsi="Times New Roman" w:cs="Times New Roman"/>
          <w:bCs/>
          <w:i/>
          <w:iCs/>
          <w:color w:val="000000"/>
          <w:sz w:val="24"/>
          <w:szCs w:val="24"/>
        </w:rPr>
        <w:t xml:space="preserve">, najmä: na aké subjekty sa nad rámec navrhuje rozšíriť pôsobnosť smernice a z akého dôvodu; aké požiadavky sa navyšujú a na aké subjekty nad rámec minimálnych požiadaviek smernice; aká  menej prísnejšia výnimka alebo úprava vyplývajúca zo smernice nebola využitá a prečo; z akého dôvodu sa navrhujú prísnejšie sankčné režimy; z akého dôvodu sa navrhuje skoršia transpozícia; z akého dôvodu sa ponechávajú v platnosti už existujúce prísnejšie vnútroštátne požiadavky. </w:t>
      </w:r>
    </w:p>
    <w:p w14:paraId="1EB0C227" w14:textId="0DDD0B91" w:rsidR="00337152" w:rsidRDefault="00D114ED" w:rsidP="00D87FD0">
      <w:pPr>
        <w:jc w:val="both"/>
        <w:rPr>
          <w:rFonts w:ascii="Times New Roman" w:eastAsia="Calibri" w:hAnsi="Times New Roman" w:cs="Times New Roman"/>
          <w:bCs/>
          <w:i/>
          <w:iCs/>
          <w:sz w:val="24"/>
          <w:szCs w:val="24"/>
        </w:rPr>
      </w:pPr>
      <w:r w:rsidRPr="00B24EFE">
        <w:rPr>
          <w:rFonts w:ascii="Times New Roman" w:eastAsia="Calibri" w:hAnsi="Times New Roman" w:cs="Times New Roman"/>
          <w:bCs/>
          <w:i/>
          <w:iCs/>
          <w:sz w:val="24"/>
          <w:szCs w:val="24"/>
        </w:rPr>
        <w:t>Využitie goldplatingu pri transpozícii alebo implementácii legislatívy EÚ je v zásade nežiadúce, keďže takýto postup môže viesť k zníženiu konkurencieschopnosti domácich podnikov v porovnaní s podnikmi z krajín, kde právne predpisy nie sú natoľko prísne. Využitie goldplatingu predkladateľom je preto prípustné iba vo výnimočných prípadoch, riadne odôvodnených a vysvetlených v analýze vplyvov na podnikateľské prostredie z hľadiska jeho nevyhnutnosti, spoločenského významu, nákladov, prekonzultovaných s dotknutými podnikateľmi a posúdených Komisiou.</w:t>
      </w:r>
    </w:p>
    <w:p w14:paraId="23160E45" w14:textId="77777777" w:rsidR="000B5FE6" w:rsidRDefault="000B5FE6" w:rsidP="000B5FE6">
      <w:pPr>
        <w:pStyle w:val="Default"/>
        <w:rPr>
          <w:iCs/>
          <w:color w:val="auto"/>
          <w:sz w:val="20"/>
          <w:szCs w:val="20"/>
        </w:rPr>
      </w:pPr>
    </w:p>
    <w:p w14:paraId="202E3826" w14:textId="77777777" w:rsidR="000B5FE6" w:rsidRPr="000B5FE6" w:rsidRDefault="000B5FE6" w:rsidP="000B5FE6">
      <w:pPr>
        <w:pStyle w:val="Default"/>
        <w:jc w:val="both"/>
        <w:rPr>
          <w:b/>
          <w:iCs/>
          <w:color w:val="auto"/>
          <w:szCs w:val="20"/>
        </w:rPr>
      </w:pPr>
      <w:r w:rsidRPr="000B5FE6">
        <w:rPr>
          <w:b/>
          <w:iCs/>
          <w:color w:val="auto"/>
          <w:szCs w:val="20"/>
        </w:rPr>
        <w:t>Smernica Rady 93/13/EHS v platnom znení:</w:t>
      </w:r>
    </w:p>
    <w:p w14:paraId="282CBD6F" w14:textId="77777777" w:rsidR="000B5FE6" w:rsidRPr="000B5FE6" w:rsidRDefault="000B5FE6" w:rsidP="000B5FE6">
      <w:pPr>
        <w:pStyle w:val="Default"/>
        <w:numPr>
          <w:ilvl w:val="0"/>
          <w:numId w:val="18"/>
        </w:numPr>
        <w:jc w:val="both"/>
        <w:rPr>
          <w:iCs/>
          <w:color w:val="auto"/>
          <w:szCs w:val="20"/>
        </w:rPr>
      </w:pPr>
      <w:r w:rsidRPr="000B5FE6">
        <w:rPr>
          <w:iCs/>
          <w:color w:val="auto"/>
          <w:szCs w:val="20"/>
        </w:rPr>
        <w:t>čl. 8 smernice Rady 93/13/EHS: v § 16 a 21 návrhu nariadenia vlády Slovenskej republiky, ktorým sa vykonávajú niektoré ustanovenia Občianskeho zákonníka v spojení s § 534 ods. 1a 2 a § 638 písm. b) návrhu Občianskeho zákonníka sa navrhuje zachovať využitie možnosti dobrovoľnej transpozície vyplývajúcej z čl. 8 smernice Rady 93/13/EHS, ktorá bola doposiaľ upravená v § 53b v spojení s § 517 ods. 2 Občianskeho zákonníka. Zachovanie osobitnej výšky sadzby zákonných úrokov z omeškania na spotrebiteľské záväzkové vzťahy je z pohľadu predkladateľa prejavom dôslednej aplikácie princípu racionálnej kontinuity pri legislatívnych prácach spojených s rekodifikáciou ako aj požiadavky aplikačnej praxe na zachovaní exitujúcej miery ochrany spotrebiteľa. Uvedené má pozitívny ako aj negatívny vplyv na podnikateľské prostredie.</w:t>
      </w:r>
    </w:p>
    <w:p w14:paraId="576C0491" w14:textId="77777777" w:rsidR="000B5FE6" w:rsidRPr="000B5FE6" w:rsidRDefault="000B5FE6" w:rsidP="000B5FE6">
      <w:pPr>
        <w:pStyle w:val="Default"/>
        <w:rPr>
          <w:iCs/>
          <w:color w:val="auto"/>
          <w:szCs w:val="20"/>
        </w:rPr>
      </w:pPr>
    </w:p>
    <w:p w14:paraId="5B339B0D" w14:textId="77777777" w:rsidR="000B5FE6" w:rsidRDefault="000B5FE6" w:rsidP="000B5FE6">
      <w:pPr>
        <w:pStyle w:val="Default"/>
        <w:jc w:val="both"/>
        <w:rPr>
          <w:b/>
          <w:iCs/>
          <w:color w:val="auto"/>
          <w:szCs w:val="20"/>
        </w:rPr>
      </w:pPr>
    </w:p>
    <w:p w14:paraId="65F8262F" w14:textId="1DF85723" w:rsidR="000B5FE6" w:rsidRPr="000B5FE6" w:rsidRDefault="000B5FE6" w:rsidP="000B5FE6">
      <w:pPr>
        <w:pStyle w:val="Default"/>
        <w:jc w:val="both"/>
        <w:rPr>
          <w:b/>
          <w:iCs/>
          <w:color w:val="auto"/>
          <w:szCs w:val="20"/>
        </w:rPr>
      </w:pPr>
      <w:r w:rsidRPr="000B5FE6">
        <w:rPr>
          <w:b/>
          <w:iCs/>
          <w:color w:val="auto"/>
          <w:szCs w:val="20"/>
        </w:rPr>
        <w:lastRenderedPageBreak/>
        <w:t>Smernica Európskeho parlamentu a Rady (EÚ) 2011/7/EU:</w:t>
      </w:r>
    </w:p>
    <w:p w14:paraId="7BDDCE69" w14:textId="77777777" w:rsidR="000B5FE6" w:rsidRPr="000B5FE6" w:rsidRDefault="000B5FE6" w:rsidP="000B5FE6">
      <w:pPr>
        <w:pStyle w:val="Default"/>
        <w:numPr>
          <w:ilvl w:val="0"/>
          <w:numId w:val="18"/>
        </w:numPr>
        <w:jc w:val="both"/>
        <w:rPr>
          <w:iCs/>
          <w:color w:val="auto"/>
          <w:szCs w:val="20"/>
        </w:rPr>
      </w:pPr>
      <w:r w:rsidRPr="000B5FE6">
        <w:rPr>
          <w:iCs/>
          <w:color w:val="auto"/>
          <w:szCs w:val="20"/>
        </w:rPr>
        <w:t>čl. 4 ods. 4 písm. b) smernice Európskeho parlamentu a Rady (EÚ) 2011/7/EÚ: v § 467 ods. 5 návrhu Občianskeho zákonníka sa navrhuje zachovať využitie možnosti dobrovoľnej transpozície vyplývajúcej z čl. 4 ods. 4 písm. b) smernice 2011/7/EÚ, ktorá bola doposiaľ upravená v § 340b ods. 5 Obchodného zákonníka v znení zákona č. 9/2013 Z. z.. Zakotvenie výnimky z aplikácie vybraných ustanovení (doterajší 340b ods. 1 a 3 Obchodného zákonníka) pre tie subjekty verejného práva, ktoré sú poskytovateľmi zdravotnej starostlivosti podľa zákona č. 578/2004 Z. z. o poskytovateľoch zdravotnej starostlivosti, zdravotníckych pracovníkoch, stavovských organizáciách v zdravotníctve a o zmene a doplnení niektorých zákonov v znení neskorších pre prípady, kde sú v pozícii dlžníka, ktorého záväzok spočíva v peňažnom plnení bude v aplikačnej praxi znamenať, že pre platnosť výslovnej dohody o dlhšej lehote splatnosti ako 30 dní (ktorá plynie od príslušných rozhodných momentov) nebude potrebné skúmať dodržanie požiadavky objektívneho odôvodnenia tohto osobitného dojednania povahou predmetu plnenia záväzku a ani súlad s povinnosťou definovanou v § 468 (doterajší 369d Obchodného zákonníka - neexistencia hrubého nepomeru k právam a povinnostiam vyplývajúcim zo záväzkového vzťahu pre veriteľa bez existencie spravodlivého dôvodu), avšak je potrebné dopovedať, že aj platnosť dojednania o lehote splatnosti v týchto osobitných prípadoch bude potvrdená, len ak osobitné dojednanie nedefinuje lehotu dlhšiu ako 60 dní. Uvedené má pozitívny ako aj negatívny vplyv na podnikateľské prostredie.</w:t>
      </w:r>
    </w:p>
    <w:p w14:paraId="07447D39" w14:textId="77777777" w:rsidR="000B5FE6" w:rsidRPr="000B5FE6" w:rsidRDefault="000B5FE6" w:rsidP="000B5FE6">
      <w:pPr>
        <w:pStyle w:val="Default"/>
        <w:jc w:val="both"/>
        <w:rPr>
          <w:iCs/>
          <w:color w:val="auto"/>
          <w:szCs w:val="20"/>
        </w:rPr>
      </w:pPr>
    </w:p>
    <w:p w14:paraId="6984968C" w14:textId="77777777" w:rsidR="000B5FE6" w:rsidRPr="000B5FE6" w:rsidRDefault="000B5FE6" w:rsidP="000B5FE6">
      <w:pPr>
        <w:pStyle w:val="Default"/>
        <w:jc w:val="both"/>
        <w:rPr>
          <w:b/>
          <w:iCs/>
          <w:color w:val="auto"/>
          <w:szCs w:val="20"/>
        </w:rPr>
      </w:pPr>
      <w:r w:rsidRPr="000B5FE6">
        <w:rPr>
          <w:b/>
          <w:iCs/>
          <w:color w:val="auto"/>
          <w:szCs w:val="20"/>
        </w:rPr>
        <w:t>Smernica Európskeho parlamentu a Rady (EÚ) 2016/943:</w:t>
      </w:r>
    </w:p>
    <w:p w14:paraId="1E906475" w14:textId="77777777" w:rsidR="000B5FE6" w:rsidRPr="000B5FE6" w:rsidRDefault="000B5FE6" w:rsidP="000B5FE6">
      <w:pPr>
        <w:pStyle w:val="Default"/>
        <w:numPr>
          <w:ilvl w:val="0"/>
          <w:numId w:val="18"/>
        </w:numPr>
        <w:jc w:val="both"/>
        <w:rPr>
          <w:iCs/>
          <w:color w:val="auto"/>
          <w:szCs w:val="20"/>
        </w:rPr>
      </w:pPr>
      <w:r w:rsidRPr="000B5FE6">
        <w:rPr>
          <w:iCs/>
          <w:color w:val="auto"/>
          <w:szCs w:val="20"/>
        </w:rPr>
        <w:t xml:space="preserve">čl. 7 ods. 2 pododsek 2 smernice Európskeho parlamentu a Rady (EÚ) 2016/943: ustanovenie § 166 ods. 2 Civilného sporového poriadku sa vykazuje ako využitie dobrovoľnej transpozície vyplývajúcej z čl. 7 ods. 2 pododsek 2 smernice Európskeho parlamentu a Rady (EÚ) 2016/943. Uvedené však nemá podľa názoru predkladateľa vzhľadom na skutočnosť, že Civilný sporový poriadok bol prijatý ešte pred účinnosťou transpozičnej novely Obchodného zákonníka vykonanej zákonom č. 264/2017 Z. z. žiaden vplyv na podnikateľské prostredie, resp. ak nejaké vplyvy vznikli, tak v súvislosti s rekodifikáciou pravidiel civilného procesu a nie vo väzbe na transpozíciu smernice Európskeho parlamentu a Rady (EÚ) 2016/943. Aktuálne predložený návrh Občianskeho zákonníka nemá žiaden vplyv na zavedený stav de </w:t>
      </w:r>
      <w:proofErr w:type="spellStart"/>
      <w:r w:rsidRPr="000B5FE6">
        <w:rPr>
          <w:iCs/>
          <w:color w:val="auto"/>
          <w:szCs w:val="20"/>
        </w:rPr>
        <w:t>lege</w:t>
      </w:r>
      <w:proofErr w:type="spellEnd"/>
      <w:r w:rsidRPr="000B5FE6">
        <w:rPr>
          <w:iCs/>
          <w:color w:val="auto"/>
          <w:szCs w:val="20"/>
        </w:rPr>
        <w:t xml:space="preserve"> lata, ktorý de </w:t>
      </w:r>
      <w:proofErr w:type="spellStart"/>
      <w:r w:rsidRPr="000B5FE6">
        <w:rPr>
          <w:iCs/>
          <w:color w:val="auto"/>
          <w:szCs w:val="20"/>
        </w:rPr>
        <w:t>facto</w:t>
      </w:r>
      <w:proofErr w:type="spellEnd"/>
      <w:r w:rsidRPr="000B5FE6">
        <w:rPr>
          <w:iCs/>
          <w:color w:val="auto"/>
          <w:szCs w:val="20"/>
        </w:rPr>
        <w:t xml:space="preserve"> len naďalej ponecháva v platnosti.</w:t>
      </w:r>
    </w:p>
    <w:p w14:paraId="246AB00D" w14:textId="77777777" w:rsidR="000B5FE6" w:rsidRPr="000B5FE6" w:rsidRDefault="000B5FE6" w:rsidP="000B5FE6">
      <w:pPr>
        <w:pStyle w:val="Default"/>
        <w:rPr>
          <w:iCs/>
          <w:color w:val="auto"/>
          <w:szCs w:val="20"/>
        </w:rPr>
      </w:pPr>
    </w:p>
    <w:p w14:paraId="2BF0AA81" w14:textId="77777777" w:rsidR="000B5FE6" w:rsidRPr="000B5FE6" w:rsidRDefault="000B5FE6" w:rsidP="000B5FE6">
      <w:pPr>
        <w:pStyle w:val="Default"/>
        <w:jc w:val="both"/>
        <w:rPr>
          <w:iCs/>
          <w:color w:val="auto"/>
          <w:szCs w:val="20"/>
        </w:rPr>
      </w:pPr>
      <w:r w:rsidRPr="000B5FE6">
        <w:rPr>
          <w:b/>
          <w:iCs/>
          <w:color w:val="auto"/>
          <w:szCs w:val="20"/>
        </w:rPr>
        <w:t>Smernica Európskeho parlamentu a Rady (EÚ) 2017/1132 v platnom znení:</w:t>
      </w:r>
    </w:p>
    <w:p w14:paraId="4AC9F127" w14:textId="77777777" w:rsidR="000B5FE6" w:rsidRPr="000B5FE6" w:rsidRDefault="000B5FE6" w:rsidP="000B5FE6">
      <w:pPr>
        <w:pStyle w:val="Default"/>
        <w:numPr>
          <w:ilvl w:val="0"/>
          <w:numId w:val="18"/>
        </w:numPr>
        <w:jc w:val="both"/>
        <w:rPr>
          <w:iCs/>
          <w:color w:val="auto"/>
          <w:szCs w:val="20"/>
        </w:rPr>
      </w:pPr>
      <w:r w:rsidRPr="000B5FE6">
        <w:rPr>
          <w:iCs/>
          <w:color w:val="auto"/>
          <w:szCs w:val="20"/>
        </w:rPr>
        <w:t>čl. 26 smernice európskeho parlamentu a Rady (EÚ) 2017/1132: § 16 návrhu Občianskeho zákonníka sa vykazuje ako transpozícia čl. 26 smernice 2017/1132, a to vzhľadom na úmysel vypustenia jeho súčasného ekvivalentu obsiahnutého v § 3a z Obchodného zákonníka následnou vyvolanou novelou osobitných súvisiacich právnych predpisov. Už súčasné znenie § 3a je vzhľadom na jeho systematické zaradenie ustanovením „všeobecným“, tzn. aplikujúcim sa na všetkých podnikateľov v zmysle definície § 2 ods. 2 Obchodného zákonníka s účinnosťou od 1. januára 2002. Pravidlo v ňom obsiahnuté je možné v súčasnosti považovať za vžitý minimálny štandard obchodnej komunikácie. Vzhľadom na skutočnosť, že v podmienkach Slovenskej republiky platí už minimálne 23 rokov len s minimálnymi zmenami domnievame sa, že v súčasnosti jeho formálne prevzatie z dôvodu realizácie princípu racionálnej kontinuity do návrhu Občianského zákonníka nezakladá žiaden vplyv na podnikateľské prostredie, resp. ak nejaké vplyvy vznikli, tak v súvislosti s jeho prijatím novelou Obchodného zákonníka vykonanou zákonom č. 500/2001 Z. z.</w:t>
      </w:r>
    </w:p>
    <w:p w14:paraId="5509E98C" w14:textId="77777777" w:rsidR="000B5FE6" w:rsidRPr="000B5FE6" w:rsidRDefault="000B5FE6" w:rsidP="000B5FE6">
      <w:pPr>
        <w:pStyle w:val="Default"/>
        <w:jc w:val="both"/>
        <w:rPr>
          <w:b/>
          <w:iCs/>
          <w:color w:val="auto"/>
          <w:szCs w:val="20"/>
        </w:rPr>
      </w:pPr>
      <w:r w:rsidRPr="000B5FE6">
        <w:rPr>
          <w:b/>
          <w:iCs/>
          <w:color w:val="auto"/>
          <w:szCs w:val="20"/>
        </w:rPr>
        <w:lastRenderedPageBreak/>
        <w:t>Smernica Európskeho parlamentu a rady (EÚ) 2019/771:</w:t>
      </w:r>
    </w:p>
    <w:p w14:paraId="78517054" w14:textId="77777777" w:rsidR="000B5FE6" w:rsidRPr="000B5FE6" w:rsidRDefault="000B5FE6" w:rsidP="000B5FE6">
      <w:pPr>
        <w:pStyle w:val="Default"/>
        <w:numPr>
          <w:ilvl w:val="0"/>
          <w:numId w:val="18"/>
        </w:numPr>
        <w:jc w:val="both"/>
        <w:rPr>
          <w:iCs/>
          <w:color w:val="auto"/>
          <w:szCs w:val="20"/>
        </w:rPr>
      </w:pPr>
      <w:r w:rsidRPr="000B5FE6">
        <w:rPr>
          <w:iCs/>
          <w:color w:val="auto"/>
          <w:szCs w:val="20"/>
        </w:rPr>
        <w:t>čl. 3 ods. 5 smernice európskeho parlamentu a Rady (EÚ) 2019/771: § 802 ods. 3 písm. a) a d) Občianskeho zákonníka – využitie možnosti vyplývajúcej z čl. 3 ods. 5 smernice (EÚ) 2019/771 vylúčiť z režimu zodpovednosti za vady podľa ustanovení o spotrebiteľskej kúpnej zmluve živé zvieratá a použitý tovar predávaný na verejných dražbách. Uvedené má pozitívny vplyv na podnikateľské prostredie;</w:t>
      </w:r>
    </w:p>
    <w:p w14:paraId="674F49DD" w14:textId="77777777" w:rsidR="000B5FE6" w:rsidRPr="000B5FE6" w:rsidRDefault="000B5FE6" w:rsidP="000B5FE6">
      <w:pPr>
        <w:pStyle w:val="Default"/>
        <w:numPr>
          <w:ilvl w:val="0"/>
          <w:numId w:val="18"/>
        </w:numPr>
        <w:jc w:val="both"/>
        <w:rPr>
          <w:iCs/>
          <w:color w:val="auto"/>
          <w:szCs w:val="20"/>
        </w:rPr>
      </w:pPr>
      <w:r w:rsidRPr="000B5FE6">
        <w:rPr>
          <w:iCs/>
          <w:color w:val="auto"/>
          <w:szCs w:val="20"/>
        </w:rPr>
        <w:t xml:space="preserve">čl. 10 ods. 5 smernice Európskeho parlamentu a Rady (EÚ) 2019/771: § 452, § 522, § 523 a ďalšie Občianskeho zákonníka – využitie možnosti vyplývajúcej z čl. 10 ods. 5 smernice (EÚ) 2019/771 stanoviť premlčaciu lehotu na uplatnenie nárokov zo zodpovednosti za vady. Ide o štandardnú súkromnoprávnu úpravu vyplývajúcu z princípu, že právo domáhať sa, aby určitá osoba splnila svoju povinnosť (nárok) sa premlčí, ak sa nevykonalo v zákonom ustanovenej lehote s cieľom posilniť právnu istotu účastníkov právnych vzťahov. Uvedené má pozitívny vplyv na podnikateľské prostredie; </w:t>
      </w:r>
    </w:p>
    <w:p w14:paraId="67D18D28" w14:textId="77777777" w:rsidR="000B5FE6" w:rsidRPr="000B5FE6" w:rsidRDefault="000B5FE6" w:rsidP="000B5FE6">
      <w:pPr>
        <w:pStyle w:val="Default"/>
        <w:numPr>
          <w:ilvl w:val="0"/>
          <w:numId w:val="18"/>
        </w:numPr>
        <w:jc w:val="both"/>
        <w:rPr>
          <w:iCs/>
          <w:color w:val="auto"/>
          <w:szCs w:val="20"/>
        </w:rPr>
      </w:pPr>
      <w:r w:rsidRPr="000B5FE6">
        <w:rPr>
          <w:iCs/>
          <w:color w:val="auto"/>
          <w:szCs w:val="20"/>
        </w:rPr>
        <w:t>čl. 10 ods. 6 smernice Európskeho parlamentu a Rady (EÚ) 2019/771: § 812 ods. 3 Občianskeho zákonníka – využitie možnosti, aby sa obchodník a spotrebiteľ mohli pri použitých veciach dohodnúť na kratšej dobe zodpovednosti ako dva roky, ale nie kratšej ako jeden rok. Uvedené má pozitívny vplyv na podnikateľské prostredie;</w:t>
      </w:r>
    </w:p>
    <w:p w14:paraId="6D212A9E" w14:textId="77777777" w:rsidR="000B5FE6" w:rsidRPr="000B5FE6" w:rsidRDefault="000B5FE6" w:rsidP="000B5FE6">
      <w:pPr>
        <w:pStyle w:val="Default"/>
        <w:numPr>
          <w:ilvl w:val="0"/>
          <w:numId w:val="18"/>
        </w:numPr>
        <w:jc w:val="both"/>
        <w:rPr>
          <w:iCs/>
          <w:color w:val="auto"/>
          <w:szCs w:val="20"/>
        </w:rPr>
      </w:pPr>
      <w:r w:rsidRPr="000B5FE6">
        <w:rPr>
          <w:iCs/>
          <w:color w:val="auto"/>
          <w:szCs w:val="20"/>
        </w:rPr>
        <w:t xml:space="preserve">čl. 11 ods. 2 smernice Európskeho parlamentu a Rady (EÚ) 2019/771: § 812 ods. 1 Občianskeho zákonníka – využitie možnosti vyplývajúcej z čl. 11 ods. 2 smernice (EÚ) 2019/771 považovať vadu, ktorá sa prejaví do uplynutia dvoch rokov od dodania veci za vadu, ktorú mala vec už v čase dodania. Uvedená možnosť bola využitá v nadväznosti na zrušenie právnej úpravy zákonnej záruky v trvaní dvoch rokov, ktorá sa doteraz uplatňovala v SR a s ohľadom na vyvrátiteľný charakter domnienky. Uvedené má negatívny vplyv na podnikateľské prostredie; </w:t>
      </w:r>
    </w:p>
    <w:p w14:paraId="2C6CEF9A" w14:textId="77777777" w:rsidR="000B5FE6" w:rsidRPr="000B5FE6" w:rsidRDefault="000B5FE6" w:rsidP="000B5FE6">
      <w:pPr>
        <w:pStyle w:val="Default"/>
        <w:numPr>
          <w:ilvl w:val="0"/>
          <w:numId w:val="18"/>
        </w:numPr>
        <w:jc w:val="both"/>
        <w:rPr>
          <w:iCs/>
          <w:color w:val="auto"/>
          <w:szCs w:val="20"/>
        </w:rPr>
      </w:pPr>
      <w:r w:rsidRPr="000B5FE6">
        <w:rPr>
          <w:iCs/>
          <w:color w:val="auto"/>
          <w:szCs w:val="20"/>
        </w:rPr>
        <w:t>čl. 12 smernice Európskeho parlamentu a Rady (EÚ) 2019/771:  § 816 ods. 3 Občianskeho zákonníka – využitie možnosti vyplývajúcej z čl. 12 smernice (EÚ) 2019/771 podmieniť možnosť kupujúceho uplatňovať práva zo zodpovednosti za vady vytknutím vady v lehote dvoch mesiacov odo dňa zistenia vady. Uvedenou právnou úpravou sa má prispieť k právnej istote účastníkov právnych vzťahov, zamedziť ďalšiemu používaniu vadnej veci a sťaženému dokazovaniu. Uvedené má pozitívny vplyv na podnikateľské prostredie;</w:t>
      </w:r>
    </w:p>
    <w:p w14:paraId="6A30B8B1" w14:textId="77777777" w:rsidR="000B5FE6" w:rsidRPr="000B5FE6" w:rsidRDefault="000B5FE6" w:rsidP="000B5FE6">
      <w:pPr>
        <w:pStyle w:val="Default"/>
        <w:numPr>
          <w:ilvl w:val="0"/>
          <w:numId w:val="18"/>
        </w:numPr>
        <w:jc w:val="both"/>
        <w:rPr>
          <w:iCs/>
          <w:color w:val="auto"/>
          <w:szCs w:val="20"/>
        </w:rPr>
      </w:pPr>
      <w:r w:rsidRPr="000B5FE6">
        <w:rPr>
          <w:iCs/>
          <w:color w:val="auto"/>
          <w:szCs w:val="20"/>
        </w:rPr>
        <w:t>čl. 13 ods. 7 smernice Európskeho parlamentu a Rady (EÚ) 2019/771: § 827 ods. 1 Občianskeho zákonníka – využitie možnosti upraviť, v akom rozsahu má podiel spotrebiteľa na nesúlade vplyv na jeho právo na prostriedky nápravy pri zodpovednosti za vady. Uvedené má pozitívny vplyv na podnikateľské prostredie;</w:t>
      </w:r>
    </w:p>
    <w:p w14:paraId="6A2A3EA8" w14:textId="77777777" w:rsidR="000B5FE6" w:rsidRPr="000B5FE6" w:rsidRDefault="000B5FE6" w:rsidP="000B5FE6">
      <w:pPr>
        <w:pStyle w:val="Default"/>
        <w:numPr>
          <w:ilvl w:val="0"/>
          <w:numId w:val="18"/>
        </w:numPr>
        <w:jc w:val="both"/>
        <w:rPr>
          <w:iCs/>
          <w:color w:val="auto"/>
          <w:szCs w:val="20"/>
        </w:rPr>
      </w:pPr>
      <w:r w:rsidRPr="000B5FE6">
        <w:rPr>
          <w:iCs/>
          <w:color w:val="auto"/>
          <w:szCs w:val="20"/>
        </w:rPr>
        <w:t xml:space="preserve">čl. 17 ods. 4 smernice Európskeho parlamentu a Rady (EÚ) 2019/771: § 832 ods. 2 Občianskeho zákonníka – využitie možnosti vyplývajúcej z čl. 17 ods. 4 smernice (EÚ) 2019/771 ustanoviť pravidlá týkajúce sa jazyka, v ktorom sa má záručný list poskytnúť spotrebiteľovi, s cieľom zabezpečiť dostatočnú zrozumiteľnosť informácií poskytovaných spotrebiteľovi v záručnom liste. Regulačná záťaž spojená s poskytovaním informácií v slovenskom jazyku je znížená možnosťou poskytovateľa záruky dohodnúť sa so spotrebiteľom na poskytnutí záručného listu v inom jazyku. Uvedené má negatívny vplyv na podnikateľské prostredie. </w:t>
      </w:r>
    </w:p>
    <w:p w14:paraId="74115EFD" w14:textId="7B25D220" w:rsidR="000B5FE6" w:rsidRPr="000B5FE6" w:rsidRDefault="000B5FE6" w:rsidP="00D87FD0">
      <w:pPr>
        <w:jc w:val="both"/>
        <w:rPr>
          <w:rFonts w:ascii="Times New Roman" w:eastAsia="Calibri" w:hAnsi="Times New Roman" w:cs="Times New Roman"/>
          <w:bCs/>
          <w:iCs/>
          <w:sz w:val="32"/>
          <w:szCs w:val="24"/>
        </w:rPr>
      </w:pPr>
    </w:p>
    <w:p w14:paraId="74FB14ED" w14:textId="65E82677" w:rsidR="000B5FE6" w:rsidRDefault="000B5FE6" w:rsidP="00D87FD0">
      <w:pPr>
        <w:jc w:val="both"/>
        <w:rPr>
          <w:rFonts w:ascii="Times New Roman" w:eastAsia="Calibri" w:hAnsi="Times New Roman" w:cs="Times New Roman"/>
          <w:bCs/>
          <w:iCs/>
          <w:sz w:val="24"/>
          <w:szCs w:val="24"/>
        </w:rPr>
      </w:pPr>
    </w:p>
    <w:p w14:paraId="16188B62" w14:textId="77777777" w:rsidR="0078666B" w:rsidRPr="000B5FE6" w:rsidRDefault="0078666B" w:rsidP="00D87FD0">
      <w:pPr>
        <w:jc w:val="both"/>
        <w:rPr>
          <w:rFonts w:ascii="Times New Roman" w:eastAsia="Calibri" w:hAnsi="Times New Roman" w:cs="Times New Roman"/>
          <w:bCs/>
          <w:iCs/>
          <w:sz w:val="24"/>
          <w:szCs w:val="24"/>
        </w:rPr>
      </w:pPr>
    </w:p>
    <w:p w14:paraId="09FE63DB" w14:textId="1B31F60D" w:rsidR="003C1848" w:rsidRPr="00B24EFE" w:rsidRDefault="003C1848" w:rsidP="00054C41">
      <w:pPr>
        <w:spacing w:after="0"/>
        <w:jc w:val="both"/>
        <w:rPr>
          <w:rFonts w:ascii="Times New Roman" w:eastAsia="Calibri" w:hAnsi="Times New Roman" w:cs="Times New Roman"/>
          <w:i/>
          <w:sz w:val="24"/>
          <w:szCs w:val="24"/>
        </w:rPr>
      </w:pPr>
    </w:p>
    <w:p w14:paraId="3220B4CE" w14:textId="271F4F69" w:rsidR="001C7331" w:rsidRPr="00B24EFE" w:rsidRDefault="00CF1B43" w:rsidP="00CF1B43">
      <w:pPr>
        <w:adjustRightInd w:val="0"/>
        <w:spacing w:after="0" w:line="240" w:lineRule="auto"/>
        <w:rPr>
          <w:rFonts w:ascii="Times New Roman" w:eastAsia="Times New Roman" w:hAnsi="Times New Roman" w:cs="Times New Roman"/>
          <w:b/>
          <w:caps/>
          <w:sz w:val="24"/>
          <w:szCs w:val="24"/>
        </w:rPr>
      </w:pPr>
      <w:r w:rsidRPr="00B24EFE">
        <w:rPr>
          <w:rFonts w:ascii="Times New Roman" w:eastAsia="Times New Roman" w:hAnsi="Times New Roman" w:cs="Times New Roman"/>
          <w:b/>
          <w:sz w:val="24"/>
          <w:szCs w:val="24"/>
        </w:rPr>
        <w:t>Vyhodnotenie konzultácií s podnikateľskými subjektmi</w:t>
      </w:r>
    </w:p>
    <w:p w14:paraId="2BC50C58" w14:textId="77777777" w:rsidR="001C7331" w:rsidRPr="00B24EFE" w:rsidRDefault="001C7331" w:rsidP="001C7331">
      <w:pPr>
        <w:spacing w:after="0" w:line="240" w:lineRule="auto"/>
        <w:jc w:val="center"/>
        <w:rPr>
          <w:rFonts w:ascii="Times New Roman" w:hAnsi="Times New Roman" w:cs="Times New Roman"/>
          <w:sz w:val="24"/>
          <w:szCs w:val="24"/>
        </w:rPr>
      </w:pPr>
    </w:p>
    <w:p w14:paraId="417746B6" w14:textId="4E024B4F" w:rsidR="001C7331" w:rsidRPr="00B24EFE" w:rsidRDefault="001C7331" w:rsidP="00CF1B43">
      <w:pPr>
        <w:spacing w:after="0" w:line="240" w:lineRule="auto"/>
        <w:rPr>
          <w:rFonts w:ascii="Times New Roman" w:hAnsi="Times New Roman" w:cs="Times New Roman"/>
          <w:sz w:val="24"/>
          <w:szCs w:val="24"/>
        </w:rPr>
      </w:pPr>
      <w:r w:rsidRPr="00B24EFE">
        <w:rPr>
          <w:rFonts w:ascii="Times New Roman" w:hAnsi="Times New Roman" w:cs="Times New Roman"/>
          <w:b/>
          <w:sz w:val="24"/>
          <w:szCs w:val="24"/>
        </w:rPr>
        <w:t xml:space="preserve">Návrh zákona </w:t>
      </w:r>
      <w:r w:rsidR="0003695E">
        <w:rPr>
          <w:rFonts w:ascii="Times New Roman" w:hAnsi="Times New Roman" w:cs="Times New Roman"/>
          <w:b/>
          <w:sz w:val="24"/>
          <w:szCs w:val="24"/>
        </w:rPr>
        <w:t>Občiansky zákonník</w:t>
      </w:r>
      <w:r w:rsidRPr="00B24EFE">
        <w:rPr>
          <w:rFonts w:ascii="Times New Roman" w:hAnsi="Times New Roman" w:cs="Times New Roman"/>
          <w:b/>
          <w:sz w:val="24"/>
          <w:szCs w:val="24"/>
        </w:rPr>
        <w:t xml:space="preserve"> </w:t>
      </w:r>
      <w:r w:rsidR="00E15680">
        <w:rPr>
          <w:rFonts w:ascii="Times New Roman" w:hAnsi="Times New Roman" w:cs="Times New Roman"/>
          <w:sz w:val="24"/>
          <w:szCs w:val="24"/>
        </w:rPr>
        <w:t>(PI/2025</w:t>
      </w:r>
      <w:r w:rsidRPr="00B24EFE">
        <w:rPr>
          <w:rFonts w:ascii="Times New Roman" w:hAnsi="Times New Roman" w:cs="Times New Roman"/>
          <w:sz w:val="24"/>
          <w:szCs w:val="24"/>
        </w:rPr>
        <w:t>/12</w:t>
      </w:r>
      <w:r w:rsidR="00E15680">
        <w:rPr>
          <w:rFonts w:ascii="Times New Roman" w:hAnsi="Times New Roman" w:cs="Times New Roman"/>
          <w:sz w:val="24"/>
          <w:szCs w:val="24"/>
        </w:rPr>
        <w:t>8</w:t>
      </w:r>
      <w:r w:rsidRPr="00B24EFE">
        <w:rPr>
          <w:rFonts w:ascii="Times New Roman" w:hAnsi="Times New Roman" w:cs="Times New Roman"/>
          <w:sz w:val="24"/>
          <w:szCs w:val="24"/>
        </w:rPr>
        <w:t>)</w:t>
      </w:r>
    </w:p>
    <w:p w14:paraId="17E09D8B" w14:textId="77777777" w:rsidR="001C7331" w:rsidRPr="00B24EFE" w:rsidRDefault="001C7331" w:rsidP="001C7331">
      <w:pPr>
        <w:spacing w:after="0" w:line="240" w:lineRule="auto"/>
        <w:jc w:val="center"/>
        <w:rPr>
          <w:rFonts w:ascii="Times New Roman" w:hAnsi="Times New Roman" w:cs="Times New Roman"/>
          <w:sz w:val="24"/>
          <w:szCs w:val="24"/>
        </w:rPr>
      </w:pPr>
    </w:p>
    <w:tbl>
      <w:tblPr>
        <w:tblW w:w="14322" w:type="dxa"/>
        <w:tblCellMar>
          <w:left w:w="0" w:type="dxa"/>
          <w:right w:w="0" w:type="dxa"/>
        </w:tblCellMar>
        <w:tblLook w:val="0000" w:firstRow="0" w:lastRow="0" w:firstColumn="0" w:lastColumn="0" w:noHBand="0" w:noVBand="0"/>
      </w:tblPr>
      <w:tblGrid>
        <w:gridCol w:w="9072"/>
        <w:gridCol w:w="5250"/>
      </w:tblGrid>
      <w:tr w:rsidR="001C7331" w:rsidRPr="00B24EFE" w14:paraId="713D154C" w14:textId="77777777" w:rsidTr="00CF0C86">
        <w:tc>
          <w:tcPr>
            <w:tcW w:w="9072" w:type="dxa"/>
            <w:tcBorders>
              <w:top w:val="nil"/>
              <w:left w:val="nil"/>
              <w:bottom w:val="nil"/>
              <w:right w:val="nil"/>
            </w:tcBorders>
          </w:tcPr>
          <w:p w14:paraId="1F08A6C7" w14:textId="23E98DF6" w:rsidR="001C7331" w:rsidRPr="00E15680" w:rsidRDefault="001C7331" w:rsidP="00377568">
            <w:pPr>
              <w:spacing w:after="0" w:line="240" w:lineRule="auto"/>
              <w:jc w:val="both"/>
              <w:rPr>
                <w:rFonts w:ascii="Calibri" w:hAnsi="Calibri" w:cs="Calibri"/>
                <w:sz w:val="24"/>
                <w:szCs w:val="24"/>
              </w:rPr>
            </w:pPr>
            <w:r w:rsidRPr="00B24EFE">
              <w:rPr>
                <w:rFonts w:ascii="Times New Roman" w:hAnsi="Times New Roman" w:cs="Times New Roman"/>
                <w:sz w:val="24"/>
                <w:szCs w:val="24"/>
              </w:rPr>
              <w:t>Spôsob konzultácií s podnikateľskými subjektmi – prostredníctvom zasielania vyjadrení k zverejnen</w:t>
            </w:r>
            <w:r w:rsidR="00E15680">
              <w:rPr>
                <w:rFonts w:ascii="Times New Roman" w:hAnsi="Times New Roman" w:cs="Times New Roman"/>
                <w:sz w:val="24"/>
                <w:szCs w:val="24"/>
              </w:rPr>
              <w:t>ej predbežnej informácii PI/2025/128</w:t>
            </w:r>
            <w:r w:rsidRPr="00B24EFE">
              <w:rPr>
                <w:rFonts w:ascii="Times New Roman" w:hAnsi="Times New Roman" w:cs="Times New Roman"/>
                <w:sz w:val="24"/>
                <w:szCs w:val="24"/>
              </w:rPr>
              <w:t xml:space="preserve">: </w:t>
            </w:r>
          </w:p>
          <w:p w14:paraId="29F2EC7F" w14:textId="35EB42DC" w:rsidR="001C7331" w:rsidRPr="00E15680" w:rsidRDefault="00FF7A63" w:rsidP="00377568">
            <w:pPr>
              <w:spacing w:after="0" w:line="240" w:lineRule="auto"/>
              <w:jc w:val="both"/>
              <w:rPr>
                <w:rFonts w:ascii="Calibri" w:hAnsi="Calibri" w:cs="Calibri"/>
                <w:sz w:val="24"/>
                <w:szCs w:val="24"/>
              </w:rPr>
            </w:pPr>
            <w:hyperlink r:id="rId12" w:history="1">
              <w:r w:rsidR="00943268" w:rsidRPr="00943268">
                <w:rPr>
                  <w:rStyle w:val="Hypertextovprepojenie"/>
                  <w:rFonts w:ascii="Calibri" w:hAnsi="Calibri" w:cs="Calibri"/>
                  <w:sz w:val="24"/>
                  <w:szCs w:val="24"/>
                </w:rPr>
                <w:t>https://www.slov-lex.sk/elegislativa/legislativne-procesy/SK/PI/2025/128</w:t>
              </w:r>
            </w:hyperlink>
          </w:p>
          <w:p w14:paraId="6767938F" w14:textId="065F43BF" w:rsidR="001C7331" w:rsidRPr="00B24EFE" w:rsidRDefault="00E15680" w:rsidP="0037756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Priebeh konzultácií: od 20.5.2025 do 20.6.2025</w:t>
            </w:r>
          </w:p>
          <w:p w14:paraId="0B94C379" w14:textId="77777777" w:rsidR="001C7331" w:rsidRPr="00B24EFE" w:rsidRDefault="001C7331" w:rsidP="00377568">
            <w:pPr>
              <w:spacing w:after="0" w:line="240" w:lineRule="auto"/>
              <w:jc w:val="both"/>
              <w:rPr>
                <w:rFonts w:ascii="Times New Roman" w:hAnsi="Times New Roman" w:cs="Times New Roman"/>
                <w:sz w:val="24"/>
                <w:szCs w:val="24"/>
              </w:rPr>
            </w:pPr>
          </w:p>
        </w:tc>
        <w:tc>
          <w:tcPr>
            <w:tcW w:w="5250" w:type="dxa"/>
            <w:tcBorders>
              <w:top w:val="nil"/>
              <w:left w:val="nil"/>
              <w:bottom w:val="nil"/>
              <w:right w:val="nil"/>
            </w:tcBorders>
          </w:tcPr>
          <w:p w14:paraId="651BA95C" w14:textId="77777777" w:rsidR="001C7331" w:rsidRPr="00B24EFE" w:rsidRDefault="001C7331" w:rsidP="00377568">
            <w:pPr>
              <w:spacing w:after="0" w:line="240" w:lineRule="auto"/>
              <w:jc w:val="both"/>
              <w:rPr>
                <w:rFonts w:ascii="Times New Roman" w:hAnsi="Times New Roman" w:cs="Times New Roman"/>
                <w:sz w:val="24"/>
                <w:szCs w:val="24"/>
              </w:rPr>
            </w:pPr>
            <w:r w:rsidRPr="00B24EFE">
              <w:rPr>
                <w:rFonts w:ascii="Times New Roman" w:hAnsi="Times New Roman" w:cs="Times New Roman"/>
                <w:sz w:val="24"/>
                <w:szCs w:val="24"/>
              </w:rPr>
              <w:t> </w:t>
            </w:r>
          </w:p>
        </w:tc>
      </w:tr>
      <w:tr w:rsidR="001C7331" w:rsidRPr="00B24EFE" w14:paraId="60F118BD" w14:textId="77777777" w:rsidTr="00CF0C86">
        <w:tc>
          <w:tcPr>
            <w:tcW w:w="9072" w:type="dxa"/>
            <w:tcBorders>
              <w:top w:val="nil"/>
              <w:left w:val="nil"/>
              <w:bottom w:val="nil"/>
              <w:right w:val="nil"/>
            </w:tcBorders>
          </w:tcPr>
          <w:p w14:paraId="7798094A" w14:textId="77777777" w:rsidR="001C7331" w:rsidRPr="00B24EFE" w:rsidRDefault="001C7331" w:rsidP="00377568">
            <w:pPr>
              <w:spacing w:after="0" w:line="240" w:lineRule="auto"/>
              <w:rPr>
                <w:rFonts w:ascii="Times New Roman" w:hAnsi="Times New Roman" w:cs="Times New Roman"/>
                <w:bCs/>
                <w:sz w:val="24"/>
                <w:szCs w:val="24"/>
              </w:rPr>
            </w:pPr>
          </w:p>
        </w:tc>
        <w:tc>
          <w:tcPr>
            <w:tcW w:w="5250" w:type="dxa"/>
            <w:tcBorders>
              <w:top w:val="nil"/>
              <w:left w:val="nil"/>
              <w:bottom w:val="nil"/>
              <w:right w:val="nil"/>
            </w:tcBorders>
          </w:tcPr>
          <w:p w14:paraId="1EA95365" w14:textId="77777777" w:rsidR="001C7331" w:rsidRPr="00B24EFE" w:rsidRDefault="001C7331" w:rsidP="00377568">
            <w:pPr>
              <w:spacing w:after="0" w:line="240" w:lineRule="auto"/>
              <w:rPr>
                <w:rFonts w:ascii="Times New Roman" w:hAnsi="Times New Roman" w:cs="Times New Roman"/>
                <w:sz w:val="24"/>
                <w:szCs w:val="24"/>
              </w:rPr>
            </w:pPr>
          </w:p>
        </w:tc>
      </w:tr>
    </w:tbl>
    <w:p w14:paraId="1D414A67" w14:textId="6E9F2F13" w:rsidR="001C7331" w:rsidRPr="00B24EFE" w:rsidRDefault="001C7331" w:rsidP="001C7331">
      <w:pPr>
        <w:spacing w:after="0" w:line="240" w:lineRule="auto"/>
        <w:rPr>
          <w:rFonts w:ascii="Times New Roman" w:hAnsi="Times New Roman" w:cs="Times New Roman"/>
          <w:sz w:val="24"/>
          <w:szCs w:val="24"/>
        </w:rPr>
      </w:pPr>
      <w:r w:rsidRPr="00B24EFE">
        <w:rPr>
          <w:rFonts w:ascii="Times New Roman" w:hAnsi="Times New Roman" w:cs="Times New Roman"/>
          <w:sz w:val="24"/>
          <w:szCs w:val="24"/>
        </w:rPr>
        <w:t>Sumarizácia zaslaných vyjadrení podľa subjektov:</w:t>
      </w:r>
    </w:p>
    <w:p w14:paraId="6CD0100E" w14:textId="77777777" w:rsidR="001C7331" w:rsidRPr="00B24EFE" w:rsidRDefault="001C7331" w:rsidP="001C7331">
      <w:pPr>
        <w:spacing w:after="0" w:line="240" w:lineRule="auto"/>
        <w:rPr>
          <w:rFonts w:ascii="Times New Roman" w:hAnsi="Times New Roman" w:cs="Times New Roman"/>
          <w:sz w:val="24"/>
          <w:szCs w:val="24"/>
        </w:rPr>
      </w:pPr>
    </w:p>
    <w:tbl>
      <w:tblPr>
        <w:tblW w:w="4839" w:type="pct"/>
        <w:jc w:val="center"/>
        <w:tblBorders>
          <w:top w:val="outset" w:sz="6" w:space="0" w:color="000000"/>
          <w:left w:val="outset" w:sz="6" w:space="0" w:color="000000"/>
          <w:bottom w:val="outset" w:sz="6" w:space="0" w:color="000000"/>
          <w:right w:val="outset" w:sz="6" w:space="0" w:color="000000"/>
        </w:tblBorders>
        <w:tblCellMar>
          <w:left w:w="0" w:type="dxa"/>
          <w:right w:w="0" w:type="dxa"/>
        </w:tblCellMar>
        <w:tblLook w:val="04A0" w:firstRow="1" w:lastRow="0" w:firstColumn="1" w:lastColumn="0" w:noHBand="0" w:noVBand="1"/>
      </w:tblPr>
      <w:tblGrid>
        <w:gridCol w:w="359"/>
        <w:gridCol w:w="7230"/>
        <w:gridCol w:w="1175"/>
      </w:tblGrid>
      <w:tr w:rsidR="001C7331" w:rsidRPr="00B24EFE" w14:paraId="79243486" w14:textId="77777777" w:rsidTr="00E15680">
        <w:trPr>
          <w:jc w:val="center"/>
        </w:trPr>
        <w:tc>
          <w:tcPr>
            <w:tcW w:w="205" w:type="pct"/>
            <w:tcBorders>
              <w:top w:val="outset" w:sz="6" w:space="0" w:color="000000"/>
              <w:left w:val="outset" w:sz="6" w:space="0" w:color="000000"/>
              <w:bottom w:val="outset" w:sz="6" w:space="0" w:color="000000"/>
              <w:right w:val="outset" w:sz="6" w:space="0" w:color="000000"/>
            </w:tcBorders>
            <w:vAlign w:val="center"/>
            <w:hideMark/>
          </w:tcPr>
          <w:p w14:paraId="0504E399" w14:textId="77777777" w:rsidR="001C7331" w:rsidRPr="00B24EFE" w:rsidRDefault="001C7331" w:rsidP="00377568">
            <w:pPr>
              <w:spacing w:after="0" w:line="240" w:lineRule="auto"/>
              <w:jc w:val="center"/>
              <w:rPr>
                <w:rFonts w:ascii="Times New Roman" w:hAnsi="Times New Roman" w:cs="Times New Roman"/>
                <w:b/>
                <w:bCs/>
                <w:sz w:val="24"/>
                <w:szCs w:val="24"/>
              </w:rPr>
            </w:pPr>
            <w:r w:rsidRPr="00B24EFE">
              <w:rPr>
                <w:rFonts w:ascii="Times New Roman" w:hAnsi="Times New Roman" w:cs="Times New Roman"/>
                <w:b/>
                <w:bCs/>
                <w:sz w:val="24"/>
                <w:szCs w:val="24"/>
              </w:rPr>
              <w:t>Č.</w:t>
            </w:r>
          </w:p>
        </w:tc>
        <w:tc>
          <w:tcPr>
            <w:tcW w:w="4124" w:type="pct"/>
            <w:tcBorders>
              <w:top w:val="outset" w:sz="6" w:space="0" w:color="000000"/>
              <w:left w:val="outset" w:sz="6" w:space="0" w:color="000000"/>
              <w:bottom w:val="outset" w:sz="6" w:space="0" w:color="000000"/>
              <w:right w:val="outset" w:sz="6" w:space="0" w:color="000000"/>
            </w:tcBorders>
            <w:vAlign w:val="center"/>
            <w:hideMark/>
          </w:tcPr>
          <w:p w14:paraId="279C1776" w14:textId="77777777" w:rsidR="001C7331" w:rsidRPr="00B24EFE" w:rsidRDefault="001C7331" w:rsidP="00377568">
            <w:pPr>
              <w:spacing w:after="0" w:line="240" w:lineRule="auto"/>
              <w:jc w:val="center"/>
              <w:rPr>
                <w:rFonts w:ascii="Times New Roman" w:hAnsi="Times New Roman" w:cs="Times New Roman"/>
                <w:b/>
                <w:bCs/>
                <w:sz w:val="24"/>
                <w:szCs w:val="24"/>
              </w:rPr>
            </w:pPr>
            <w:r w:rsidRPr="00B24EFE">
              <w:rPr>
                <w:rFonts w:ascii="Times New Roman" w:hAnsi="Times New Roman" w:cs="Times New Roman"/>
                <w:b/>
                <w:bCs/>
                <w:sz w:val="24"/>
                <w:szCs w:val="24"/>
              </w:rPr>
              <w:t>Subjekt</w:t>
            </w:r>
          </w:p>
        </w:tc>
        <w:tc>
          <w:tcPr>
            <w:tcW w:w="670" w:type="pct"/>
            <w:tcBorders>
              <w:top w:val="outset" w:sz="6" w:space="0" w:color="000000"/>
              <w:left w:val="outset" w:sz="6" w:space="0" w:color="000000"/>
              <w:bottom w:val="outset" w:sz="6" w:space="0" w:color="000000"/>
              <w:right w:val="outset" w:sz="6" w:space="0" w:color="000000"/>
            </w:tcBorders>
            <w:vAlign w:val="center"/>
            <w:hideMark/>
          </w:tcPr>
          <w:p w14:paraId="2A3CCA28" w14:textId="77777777" w:rsidR="001C7331" w:rsidRPr="00B24EFE" w:rsidRDefault="001C7331" w:rsidP="00377568">
            <w:pPr>
              <w:spacing w:after="0" w:line="240" w:lineRule="auto"/>
              <w:jc w:val="center"/>
              <w:rPr>
                <w:rFonts w:ascii="Times New Roman" w:hAnsi="Times New Roman" w:cs="Times New Roman"/>
                <w:b/>
                <w:bCs/>
                <w:sz w:val="24"/>
                <w:szCs w:val="24"/>
              </w:rPr>
            </w:pPr>
            <w:r w:rsidRPr="00B24EFE">
              <w:rPr>
                <w:rFonts w:ascii="Times New Roman" w:hAnsi="Times New Roman" w:cs="Times New Roman"/>
                <w:b/>
                <w:bCs/>
                <w:sz w:val="24"/>
                <w:szCs w:val="24"/>
              </w:rPr>
              <w:t>Vyjadrenia do termínu</w:t>
            </w:r>
          </w:p>
        </w:tc>
      </w:tr>
      <w:tr w:rsidR="001C7331" w:rsidRPr="00B24EFE" w14:paraId="78C57058" w14:textId="77777777" w:rsidTr="00E15680">
        <w:trPr>
          <w:jc w:val="center"/>
        </w:trPr>
        <w:tc>
          <w:tcPr>
            <w:tcW w:w="205" w:type="pct"/>
            <w:tcBorders>
              <w:top w:val="outset" w:sz="6" w:space="0" w:color="000000"/>
              <w:left w:val="outset" w:sz="6" w:space="0" w:color="000000"/>
              <w:bottom w:val="outset" w:sz="6" w:space="0" w:color="000000"/>
              <w:right w:val="outset" w:sz="6" w:space="0" w:color="000000"/>
            </w:tcBorders>
          </w:tcPr>
          <w:p w14:paraId="7CFFEA45" w14:textId="77777777" w:rsidR="001C7331" w:rsidRPr="00B24EFE" w:rsidRDefault="001C7331" w:rsidP="00377568">
            <w:pPr>
              <w:spacing w:after="0" w:line="240" w:lineRule="auto"/>
              <w:jc w:val="center"/>
              <w:rPr>
                <w:rFonts w:ascii="Times New Roman" w:hAnsi="Times New Roman" w:cs="Times New Roman"/>
                <w:sz w:val="24"/>
                <w:szCs w:val="24"/>
              </w:rPr>
            </w:pPr>
            <w:r w:rsidRPr="00B24EFE">
              <w:rPr>
                <w:rFonts w:ascii="Times New Roman" w:hAnsi="Times New Roman" w:cs="Times New Roman"/>
                <w:sz w:val="24"/>
                <w:szCs w:val="24"/>
              </w:rPr>
              <w:t>1</w:t>
            </w:r>
          </w:p>
        </w:tc>
        <w:tc>
          <w:tcPr>
            <w:tcW w:w="4124" w:type="pct"/>
            <w:tcBorders>
              <w:top w:val="outset" w:sz="6" w:space="0" w:color="000000"/>
              <w:left w:val="outset" w:sz="6" w:space="0" w:color="000000"/>
              <w:bottom w:val="outset" w:sz="6" w:space="0" w:color="000000"/>
              <w:right w:val="outset" w:sz="6" w:space="0" w:color="000000"/>
            </w:tcBorders>
          </w:tcPr>
          <w:p w14:paraId="00CB40FF" w14:textId="11C58F2A" w:rsidR="001C7331" w:rsidRPr="00B24EFE" w:rsidRDefault="00E15680" w:rsidP="00377568">
            <w:pPr>
              <w:spacing w:after="0" w:line="240" w:lineRule="auto"/>
              <w:rPr>
                <w:rFonts w:ascii="Times New Roman" w:hAnsi="Times New Roman" w:cs="Times New Roman"/>
                <w:sz w:val="24"/>
                <w:szCs w:val="24"/>
              </w:rPr>
            </w:pPr>
            <w:r w:rsidRPr="00E15680">
              <w:rPr>
                <w:rFonts w:ascii="Times New Roman" w:hAnsi="Times New Roman" w:cs="Times New Roman"/>
                <w:sz w:val="24"/>
                <w:szCs w:val="24"/>
              </w:rPr>
              <w:t>Komisárka pre osoby so zdravotným postihnutím</w:t>
            </w:r>
          </w:p>
        </w:tc>
        <w:tc>
          <w:tcPr>
            <w:tcW w:w="0" w:type="auto"/>
            <w:tcBorders>
              <w:top w:val="outset" w:sz="6" w:space="0" w:color="000000"/>
              <w:left w:val="outset" w:sz="6" w:space="0" w:color="000000"/>
              <w:bottom w:val="outset" w:sz="6" w:space="0" w:color="000000"/>
              <w:right w:val="outset" w:sz="6" w:space="0" w:color="000000"/>
            </w:tcBorders>
          </w:tcPr>
          <w:p w14:paraId="108927B8" w14:textId="1FB3B51C" w:rsidR="001C7331" w:rsidRPr="00B24EFE" w:rsidRDefault="00E15680" w:rsidP="0037756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r>
      <w:tr w:rsidR="001C7331" w:rsidRPr="00B24EFE" w14:paraId="36DE96CF" w14:textId="77777777" w:rsidTr="00E15680">
        <w:trPr>
          <w:jc w:val="center"/>
        </w:trPr>
        <w:tc>
          <w:tcPr>
            <w:tcW w:w="205" w:type="pct"/>
            <w:tcBorders>
              <w:top w:val="outset" w:sz="6" w:space="0" w:color="000000"/>
              <w:left w:val="outset" w:sz="6" w:space="0" w:color="000000"/>
              <w:bottom w:val="outset" w:sz="6" w:space="0" w:color="000000"/>
              <w:right w:val="outset" w:sz="6" w:space="0" w:color="000000"/>
            </w:tcBorders>
          </w:tcPr>
          <w:p w14:paraId="4973D5A5" w14:textId="77777777" w:rsidR="001C7331" w:rsidRPr="00B24EFE" w:rsidRDefault="001C7331" w:rsidP="00377568">
            <w:pPr>
              <w:spacing w:after="0" w:line="240" w:lineRule="auto"/>
              <w:jc w:val="center"/>
              <w:rPr>
                <w:rFonts w:ascii="Times New Roman" w:hAnsi="Times New Roman" w:cs="Times New Roman"/>
                <w:sz w:val="24"/>
                <w:szCs w:val="24"/>
              </w:rPr>
            </w:pPr>
            <w:r w:rsidRPr="00B24EFE">
              <w:rPr>
                <w:rFonts w:ascii="Times New Roman" w:hAnsi="Times New Roman" w:cs="Times New Roman"/>
                <w:sz w:val="24"/>
                <w:szCs w:val="24"/>
              </w:rPr>
              <w:t>2</w:t>
            </w:r>
          </w:p>
        </w:tc>
        <w:tc>
          <w:tcPr>
            <w:tcW w:w="4124" w:type="pct"/>
            <w:tcBorders>
              <w:top w:val="outset" w:sz="6" w:space="0" w:color="000000"/>
              <w:left w:val="outset" w:sz="6" w:space="0" w:color="000000"/>
              <w:bottom w:val="outset" w:sz="6" w:space="0" w:color="000000"/>
              <w:right w:val="outset" w:sz="6" w:space="0" w:color="000000"/>
            </w:tcBorders>
          </w:tcPr>
          <w:p w14:paraId="7BD7EBF0" w14:textId="207AE12D" w:rsidR="001C7331" w:rsidRPr="00B24EFE" w:rsidRDefault="00E15680" w:rsidP="00377568">
            <w:pPr>
              <w:spacing w:after="0" w:line="240" w:lineRule="auto"/>
              <w:rPr>
                <w:rFonts w:ascii="Times New Roman" w:hAnsi="Times New Roman" w:cs="Times New Roman"/>
                <w:sz w:val="24"/>
                <w:szCs w:val="24"/>
              </w:rPr>
            </w:pPr>
            <w:r>
              <w:rPr>
                <w:rFonts w:ascii="Times New Roman" w:hAnsi="Times New Roman" w:cs="Times New Roman"/>
                <w:sz w:val="24"/>
                <w:szCs w:val="24"/>
              </w:rPr>
              <w:t>APZD (Asociácia priemyselných zväzov a dopravy)</w:t>
            </w:r>
          </w:p>
        </w:tc>
        <w:tc>
          <w:tcPr>
            <w:tcW w:w="0" w:type="auto"/>
            <w:tcBorders>
              <w:top w:val="outset" w:sz="6" w:space="0" w:color="000000"/>
              <w:left w:val="outset" w:sz="6" w:space="0" w:color="000000"/>
              <w:bottom w:val="outset" w:sz="6" w:space="0" w:color="000000"/>
              <w:right w:val="outset" w:sz="6" w:space="0" w:color="000000"/>
            </w:tcBorders>
          </w:tcPr>
          <w:p w14:paraId="25833D97" w14:textId="77777777" w:rsidR="001C7331" w:rsidRPr="00B24EFE" w:rsidRDefault="001C7331" w:rsidP="00377568">
            <w:pPr>
              <w:spacing w:after="0" w:line="240" w:lineRule="auto"/>
              <w:jc w:val="center"/>
              <w:rPr>
                <w:rFonts w:ascii="Times New Roman" w:hAnsi="Times New Roman" w:cs="Times New Roman"/>
                <w:sz w:val="24"/>
                <w:szCs w:val="24"/>
              </w:rPr>
            </w:pPr>
            <w:r w:rsidRPr="00B24EFE">
              <w:rPr>
                <w:rFonts w:ascii="Times New Roman" w:hAnsi="Times New Roman" w:cs="Times New Roman"/>
                <w:sz w:val="24"/>
                <w:szCs w:val="24"/>
              </w:rPr>
              <w:t>1</w:t>
            </w:r>
          </w:p>
        </w:tc>
      </w:tr>
      <w:tr w:rsidR="00E15680" w:rsidRPr="00B24EFE" w14:paraId="40C26314" w14:textId="77777777" w:rsidTr="00E15680">
        <w:trPr>
          <w:jc w:val="center"/>
        </w:trPr>
        <w:tc>
          <w:tcPr>
            <w:tcW w:w="205" w:type="pct"/>
            <w:tcBorders>
              <w:top w:val="outset" w:sz="6" w:space="0" w:color="000000"/>
              <w:left w:val="outset" w:sz="6" w:space="0" w:color="000000"/>
              <w:bottom w:val="outset" w:sz="6" w:space="0" w:color="000000"/>
              <w:right w:val="outset" w:sz="6" w:space="0" w:color="000000"/>
            </w:tcBorders>
          </w:tcPr>
          <w:p w14:paraId="65EDF7BC" w14:textId="0305A977" w:rsidR="00E15680" w:rsidRPr="00B24EFE" w:rsidRDefault="00E15680" w:rsidP="0037756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4124" w:type="pct"/>
            <w:tcBorders>
              <w:top w:val="outset" w:sz="6" w:space="0" w:color="000000"/>
              <w:left w:val="outset" w:sz="6" w:space="0" w:color="000000"/>
              <w:bottom w:val="outset" w:sz="6" w:space="0" w:color="000000"/>
              <w:right w:val="outset" w:sz="6" w:space="0" w:color="000000"/>
            </w:tcBorders>
          </w:tcPr>
          <w:p w14:paraId="7545CCF9" w14:textId="3FDABB36" w:rsidR="00E15680" w:rsidRPr="00B24EFE" w:rsidRDefault="00E15680" w:rsidP="00377568">
            <w:pPr>
              <w:spacing w:after="0" w:line="240" w:lineRule="auto"/>
              <w:rPr>
                <w:rFonts w:ascii="Times New Roman" w:hAnsi="Times New Roman" w:cs="Times New Roman"/>
                <w:sz w:val="24"/>
                <w:szCs w:val="24"/>
              </w:rPr>
            </w:pPr>
            <w:r w:rsidRPr="00E15680">
              <w:rPr>
                <w:rFonts w:ascii="Times New Roman" w:hAnsi="Times New Roman" w:cs="Times New Roman"/>
                <w:sz w:val="24"/>
                <w:szCs w:val="24"/>
              </w:rPr>
              <w:t>Platforma rodín detí so zdravotným znevýhodnením</w:t>
            </w:r>
          </w:p>
        </w:tc>
        <w:tc>
          <w:tcPr>
            <w:tcW w:w="0" w:type="auto"/>
            <w:tcBorders>
              <w:top w:val="outset" w:sz="6" w:space="0" w:color="000000"/>
              <w:left w:val="outset" w:sz="6" w:space="0" w:color="000000"/>
              <w:bottom w:val="outset" w:sz="6" w:space="0" w:color="000000"/>
              <w:right w:val="outset" w:sz="6" w:space="0" w:color="000000"/>
            </w:tcBorders>
          </w:tcPr>
          <w:p w14:paraId="11D558F5" w14:textId="22A6A8EA" w:rsidR="00E15680" w:rsidRPr="00B24EFE" w:rsidRDefault="00E15680" w:rsidP="0037756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r>
      <w:tr w:rsidR="00E15680" w:rsidRPr="00B24EFE" w14:paraId="6852270D" w14:textId="77777777" w:rsidTr="00E15680">
        <w:trPr>
          <w:jc w:val="center"/>
        </w:trPr>
        <w:tc>
          <w:tcPr>
            <w:tcW w:w="205" w:type="pct"/>
            <w:tcBorders>
              <w:top w:val="outset" w:sz="6" w:space="0" w:color="000000"/>
              <w:left w:val="outset" w:sz="6" w:space="0" w:color="000000"/>
              <w:bottom w:val="outset" w:sz="6" w:space="0" w:color="000000"/>
              <w:right w:val="outset" w:sz="6" w:space="0" w:color="000000"/>
            </w:tcBorders>
          </w:tcPr>
          <w:p w14:paraId="3B05C3EC" w14:textId="7EE38E01" w:rsidR="00E15680" w:rsidRPr="00B24EFE" w:rsidRDefault="00E15680" w:rsidP="0037756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4124" w:type="pct"/>
            <w:tcBorders>
              <w:top w:val="outset" w:sz="6" w:space="0" w:color="000000"/>
              <w:left w:val="outset" w:sz="6" w:space="0" w:color="000000"/>
              <w:bottom w:val="outset" w:sz="6" w:space="0" w:color="000000"/>
              <w:right w:val="outset" w:sz="6" w:space="0" w:color="000000"/>
            </w:tcBorders>
          </w:tcPr>
          <w:p w14:paraId="673A0940" w14:textId="4F69088C" w:rsidR="00E15680" w:rsidRPr="00B24EFE" w:rsidRDefault="00E15680" w:rsidP="00377568">
            <w:pPr>
              <w:spacing w:after="0" w:line="240" w:lineRule="auto"/>
              <w:rPr>
                <w:rFonts w:ascii="Times New Roman" w:hAnsi="Times New Roman" w:cs="Times New Roman"/>
                <w:sz w:val="24"/>
                <w:szCs w:val="24"/>
              </w:rPr>
            </w:pPr>
            <w:r>
              <w:rPr>
                <w:rFonts w:ascii="Times New Roman" w:hAnsi="Times New Roman" w:cs="Times New Roman"/>
                <w:sz w:val="24"/>
                <w:szCs w:val="24"/>
              </w:rPr>
              <w:t>Klub 500</w:t>
            </w:r>
          </w:p>
        </w:tc>
        <w:tc>
          <w:tcPr>
            <w:tcW w:w="0" w:type="auto"/>
            <w:tcBorders>
              <w:top w:val="outset" w:sz="6" w:space="0" w:color="000000"/>
              <w:left w:val="outset" w:sz="6" w:space="0" w:color="000000"/>
              <w:bottom w:val="outset" w:sz="6" w:space="0" w:color="000000"/>
              <w:right w:val="outset" w:sz="6" w:space="0" w:color="000000"/>
            </w:tcBorders>
          </w:tcPr>
          <w:p w14:paraId="3881D842" w14:textId="02D2D82E" w:rsidR="00E15680" w:rsidRPr="00B24EFE" w:rsidRDefault="00E15680" w:rsidP="0037756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r>
      <w:tr w:rsidR="00E15680" w:rsidRPr="00B24EFE" w14:paraId="72D7E709" w14:textId="77777777" w:rsidTr="00E15680">
        <w:trPr>
          <w:jc w:val="center"/>
        </w:trPr>
        <w:tc>
          <w:tcPr>
            <w:tcW w:w="205" w:type="pct"/>
            <w:tcBorders>
              <w:top w:val="outset" w:sz="6" w:space="0" w:color="000000"/>
              <w:left w:val="outset" w:sz="6" w:space="0" w:color="000000"/>
              <w:bottom w:val="outset" w:sz="6" w:space="0" w:color="000000"/>
              <w:right w:val="outset" w:sz="6" w:space="0" w:color="000000"/>
            </w:tcBorders>
          </w:tcPr>
          <w:p w14:paraId="0182ED00" w14:textId="1ADBB1D6" w:rsidR="00E15680" w:rsidRPr="00B24EFE" w:rsidRDefault="00E15680" w:rsidP="0037756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w:t>
            </w:r>
          </w:p>
        </w:tc>
        <w:tc>
          <w:tcPr>
            <w:tcW w:w="4124" w:type="pct"/>
            <w:tcBorders>
              <w:top w:val="outset" w:sz="6" w:space="0" w:color="000000"/>
              <w:left w:val="outset" w:sz="6" w:space="0" w:color="000000"/>
              <w:bottom w:val="outset" w:sz="6" w:space="0" w:color="000000"/>
              <w:right w:val="outset" w:sz="6" w:space="0" w:color="000000"/>
            </w:tcBorders>
          </w:tcPr>
          <w:p w14:paraId="16CACBE1" w14:textId="45A30E93" w:rsidR="00E15680" w:rsidRPr="00B24EFE" w:rsidRDefault="00E15680" w:rsidP="00377568">
            <w:pPr>
              <w:spacing w:after="0" w:line="240" w:lineRule="auto"/>
              <w:rPr>
                <w:rFonts w:ascii="Times New Roman" w:hAnsi="Times New Roman" w:cs="Times New Roman"/>
                <w:sz w:val="24"/>
                <w:szCs w:val="24"/>
              </w:rPr>
            </w:pPr>
            <w:r w:rsidRPr="00E15680">
              <w:rPr>
                <w:rFonts w:ascii="Times New Roman" w:hAnsi="Times New Roman" w:cs="Times New Roman"/>
                <w:sz w:val="24"/>
                <w:szCs w:val="24"/>
              </w:rPr>
              <w:t>Združenie domových samospráv, o.z.</w:t>
            </w:r>
          </w:p>
        </w:tc>
        <w:tc>
          <w:tcPr>
            <w:tcW w:w="0" w:type="auto"/>
            <w:tcBorders>
              <w:top w:val="outset" w:sz="6" w:space="0" w:color="000000"/>
              <w:left w:val="outset" w:sz="6" w:space="0" w:color="000000"/>
              <w:bottom w:val="outset" w:sz="6" w:space="0" w:color="000000"/>
              <w:right w:val="outset" w:sz="6" w:space="0" w:color="000000"/>
            </w:tcBorders>
          </w:tcPr>
          <w:p w14:paraId="7CFC3706" w14:textId="5B9666C3" w:rsidR="00E15680" w:rsidRPr="00B24EFE" w:rsidRDefault="00E15680" w:rsidP="0037756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r>
      <w:tr w:rsidR="00E15680" w:rsidRPr="00B24EFE" w14:paraId="12A521FA" w14:textId="77777777" w:rsidTr="00E15680">
        <w:trPr>
          <w:jc w:val="center"/>
        </w:trPr>
        <w:tc>
          <w:tcPr>
            <w:tcW w:w="205" w:type="pct"/>
            <w:tcBorders>
              <w:top w:val="outset" w:sz="6" w:space="0" w:color="000000"/>
              <w:left w:val="outset" w:sz="6" w:space="0" w:color="000000"/>
              <w:bottom w:val="outset" w:sz="6" w:space="0" w:color="000000"/>
              <w:right w:val="outset" w:sz="6" w:space="0" w:color="000000"/>
            </w:tcBorders>
          </w:tcPr>
          <w:p w14:paraId="562516C7" w14:textId="250127C4" w:rsidR="00E15680" w:rsidRPr="00B24EFE" w:rsidRDefault="00E15680" w:rsidP="0037756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tc>
        <w:tc>
          <w:tcPr>
            <w:tcW w:w="4124" w:type="pct"/>
            <w:tcBorders>
              <w:top w:val="outset" w:sz="6" w:space="0" w:color="000000"/>
              <w:left w:val="outset" w:sz="6" w:space="0" w:color="000000"/>
              <w:bottom w:val="outset" w:sz="6" w:space="0" w:color="000000"/>
              <w:right w:val="outset" w:sz="6" w:space="0" w:color="000000"/>
            </w:tcBorders>
          </w:tcPr>
          <w:p w14:paraId="67E7A87B" w14:textId="4B10CFBE" w:rsidR="00E15680" w:rsidRPr="00B24EFE" w:rsidRDefault="00E15680" w:rsidP="00377568">
            <w:pPr>
              <w:spacing w:after="0" w:line="240" w:lineRule="auto"/>
              <w:rPr>
                <w:rFonts w:ascii="Times New Roman" w:hAnsi="Times New Roman" w:cs="Times New Roman"/>
                <w:sz w:val="24"/>
                <w:szCs w:val="24"/>
              </w:rPr>
            </w:pPr>
            <w:r>
              <w:rPr>
                <w:rFonts w:ascii="Times New Roman" w:hAnsi="Times New Roman" w:cs="Times New Roman"/>
                <w:sz w:val="24"/>
                <w:szCs w:val="24"/>
              </w:rPr>
              <w:t>Verejnosť</w:t>
            </w:r>
          </w:p>
        </w:tc>
        <w:tc>
          <w:tcPr>
            <w:tcW w:w="0" w:type="auto"/>
            <w:tcBorders>
              <w:top w:val="outset" w:sz="6" w:space="0" w:color="000000"/>
              <w:left w:val="outset" w:sz="6" w:space="0" w:color="000000"/>
              <w:bottom w:val="outset" w:sz="6" w:space="0" w:color="000000"/>
              <w:right w:val="outset" w:sz="6" w:space="0" w:color="000000"/>
            </w:tcBorders>
          </w:tcPr>
          <w:p w14:paraId="3D376EDE" w14:textId="45A00502" w:rsidR="00E15680" w:rsidRPr="00B24EFE" w:rsidRDefault="00E15680" w:rsidP="0037756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8</w:t>
            </w:r>
          </w:p>
        </w:tc>
      </w:tr>
      <w:tr w:rsidR="00E15680" w:rsidRPr="00B24EFE" w14:paraId="6A38C06D" w14:textId="77777777" w:rsidTr="00E15680">
        <w:trPr>
          <w:jc w:val="center"/>
        </w:trPr>
        <w:tc>
          <w:tcPr>
            <w:tcW w:w="205" w:type="pct"/>
            <w:tcBorders>
              <w:top w:val="outset" w:sz="6" w:space="0" w:color="000000"/>
              <w:left w:val="outset" w:sz="6" w:space="0" w:color="000000"/>
              <w:bottom w:val="outset" w:sz="6" w:space="0" w:color="000000"/>
              <w:right w:val="outset" w:sz="6" w:space="0" w:color="000000"/>
            </w:tcBorders>
          </w:tcPr>
          <w:p w14:paraId="70191CFE" w14:textId="1A7F71A9" w:rsidR="00E15680" w:rsidRPr="00B24EFE" w:rsidRDefault="00E15680" w:rsidP="00E1568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7</w:t>
            </w:r>
          </w:p>
        </w:tc>
        <w:tc>
          <w:tcPr>
            <w:tcW w:w="4124" w:type="pct"/>
            <w:tcBorders>
              <w:top w:val="outset" w:sz="6" w:space="0" w:color="000000"/>
              <w:left w:val="outset" w:sz="6" w:space="0" w:color="000000"/>
              <w:bottom w:val="outset" w:sz="6" w:space="0" w:color="000000"/>
              <w:right w:val="outset" w:sz="6" w:space="0" w:color="000000"/>
            </w:tcBorders>
          </w:tcPr>
          <w:p w14:paraId="0E7A2540" w14:textId="10A66BB2" w:rsidR="00E15680" w:rsidRPr="00B24EFE" w:rsidRDefault="00E15680" w:rsidP="00377568">
            <w:pPr>
              <w:spacing w:after="0" w:line="240" w:lineRule="auto"/>
              <w:rPr>
                <w:rFonts w:ascii="Times New Roman" w:hAnsi="Times New Roman" w:cs="Times New Roman"/>
                <w:sz w:val="24"/>
                <w:szCs w:val="24"/>
              </w:rPr>
            </w:pPr>
            <w:r>
              <w:rPr>
                <w:rFonts w:ascii="Times New Roman" w:hAnsi="Times New Roman" w:cs="Times New Roman"/>
                <w:sz w:val="24"/>
                <w:szCs w:val="24"/>
              </w:rPr>
              <w:t>K</w:t>
            </w:r>
            <w:r w:rsidRPr="00E15680">
              <w:rPr>
                <w:rFonts w:ascii="Times New Roman" w:hAnsi="Times New Roman" w:cs="Times New Roman"/>
                <w:sz w:val="24"/>
                <w:szCs w:val="24"/>
              </w:rPr>
              <w:t>omora opatrovateliek Slovenska</w:t>
            </w:r>
          </w:p>
        </w:tc>
        <w:tc>
          <w:tcPr>
            <w:tcW w:w="0" w:type="auto"/>
            <w:tcBorders>
              <w:top w:val="outset" w:sz="6" w:space="0" w:color="000000"/>
              <w:left w:val="outset" w:sz="6" w:space="0" w:color="000000"/>
              <w:bottom w:val="outset" w:sz="6" w:space="0" w:color="000000"/>
              <w:right w:val="outset" w:sz="6" w:space="0" w:color="000000"/>
            </w:tcBorders>
          </w:tcPr>
          <w:p w14:paraId="7EF3CE28" w14:textId="29AC0083" w:rsidR="00E15680" w:rsidRPr="00B24EFE" w:rsidRDefault="00E15680" w:rsidP="0037756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r>
      <w:tr w:rsidR="001C7331" w:rsidRPr="00B24EFE" w14:paraId="79F744E2" w14:textId="77777777" w:rsidTr="00E15680">
        <w:trPr>
          <w:jc w:val="center"/>
        </w:trPr>
        <w:tc>
          <w:tcPr>
            <w:tcW w:w="205" w:type="pct"/>
            <w:tcBorders>
              <w:top w:val="outset" w:sz="6" w:space="0" w:color="000000"/>
              <w:left w:val="outset" w:sz="6" w:space="0" w:color="000000"/>
              <w:bottom w:val="outset" w:sz="6" w:space="0" w:color="000000"/>
              <w:right w:val="outset" w:sz="6" w:space="0" w:color="000000"/>
            </w:tcBorders>
            <w:hideMark/>
          </w:tcPr>
          <w:p w14:paraId="144C4B95" w14:textId="77777777" w:rsidR="001C7331" w:rsidRPr="00B24EFE" w:rsidRDefault="001C7331" w:rsidP="00377568">
            <w:pPr>
              <w:spacing w:after="0" w:line="240" w:lineRule="auto"/>
              <w:jc w:val="center"/>
              <w:rPr>
                <w:rFonts w:ascii="Times New Roman" w:hAnsi="Times New Roman" w:cs="Times New Roman"/>
                <w:sz w:val="24"/>
                <w:szCs w:val="24"/>
              </w:rPr>
            </w:pPr>
          </w:p>
        </w:tc>
        <w:tc>
          <w:tcPr>
            <w:tcW w:w="4124" w:type="pct"/>
            <w:tcBorders>
              <w:top w:val="outset" w:sz="6" w:space="0" w:color="000000"/>
              <w:left w:val="outset" w:sz="6" w:space="0" w:color="000000"/>
              <w:bottom w:val="outset" w:sz="6" w:space="0" w:color="000000"/>
              <w:right w:val="outset" w:sz="6" w:space="0" w:color="000000"/>
            </w:tcBorders>
            <w:hideMark/>
          </w:tcPr>
          <w:p w14:paraId="4DFC5870" w14:textId="77777777" w:rsidR="001C7331" w:rsidRPr="00B24EFE" w:rsidRDefault="001C7331" w:rsidP="00377568">
            <w:pPr>
              <w:spacing w:after="0" w:line="240" w:lineRule="auto"/>
              <w:rPr>
                <w:rFonts w:ascii="Times New Roman" w:hAnsi="Times New Roman" w:cs="Times New Roman"/>
                <w:sz w:val="24"/>
                <w:szCs w:val="24"/>
              </w:rPr>
            </w:pPr>
            <w:r w:rsidRPr="00B24EFE">
              <w:rPr>
                <w:rFonts w:ascii="Times New Roman" w:hAnsi="Times New Roman" w:cs="Times New Roman"/>
                <w:sz w:val="24"/>
                <w:szCs w:val="24"/>
              </w:rPr>
              <w:t>Spolu</w:t>
            </w:r>
          </w:p>
        </w:tc>
        <w:tc>
          <w:tcPr>
            <w:tcW w:w="0" w:type="auto"/>
            <w:tcBorders>
              <w:top w:val="outset" w:sz="6" w:space="0" w:color="000000"/>
              <w:left w:val="outset" w:sz="6" w:space="0" w:color="000000"/>
              <w:bottom w:val="outset" w:sz="6" w:space="0" w:color="000000"/>
              <w:right w:val="outset" w:sz="6" w:space="0" w:color="000000"/>
            </w:tcBorders>
            <w:hideMark/>
          </w:tcPr>
          <w:p w14:paraId="64D99B33" w14:textId="62931509" w:rsidR="001C7331" w:rsidRPr="00B24EFE" w:rsidRDefault="00E15680" w:rsidP="0037756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14</w:t>
            </w:r>
          </w:p>
          <w:p w14:paraId="0B23DD8E" w14:textId="77777777" w:rsidR="001C7331" w:rsidRPr="00B24EFE" w:rsidRDefault="001C7331" w:rsidP="00377568">
            <w:pPr>
              <w:spacing w:after="0" w:line="240" w:lineRule="auto"/>
              <w:jc w:val="center"/>
              <w:rPr>
                <w:rFonts w:ascii="Times New Roman" w:hAnsi="Times New Roman" w:cs="Times New Roman"/>
                <w:sz w:val="24"/>
                <w:szCs w:val="24"/>
              </w:rPr>
            </w:pPr>
            <w:r w:rsidRPr="00B24EFE">
              <w:rPr>
                <w:rFonts w:ascii="Times New Roman" w:hAnsi="Times New Roman" w:cs="Times New Roman"/>
                <w:sz w:val="24"/>
                <w:szCs w:val="24"/>
              </w:rPr>
              <w:t xml:space="preserve"> </w:t>
            </w:r>
          </w:p>
        </w:tc>
      </w:tr>
    </w:tbl>
    <w:p w14:paraId="76511A9D" w14:textId="7B200CA9" w:rsidR="00B24EFE" w:rsidRDefault="00B24EFE" w:rsidP="001C7331">
      <w:pPr>
        <w:spacing w:after="0" w:line="240" w:lineRule="auto"/>
        <w:rPr>
          <w:rFonts w:ascii="Times New Roman" w:eastAsia="Times New Roman" w:hAnsi="Times New Roman" w:cs="Times New Roman"/>
          <w:bCs/>
          <w:color w:val="000000"/>
          <w:sz w:val="24"/>
          <w:szCs w:val="24"/>
          <w:lang w:eastAsia="sk-SK"/>
        </w:rPr>
      </w:pPr>
    </w:p>
    <w:p w14:paraId="1E1A8A10" w14:textId="3F18965A" w:rsidR="001C7331" w:rsidRDefault="00E15680" w:rsidP="001C7331">
      <w:pPr>
        <w:spacing w:after="0" w:line="240" w:lineRule="auto"/>
        <w:rPr>
          <w:rFonts w:ascii="Times New Roman" w:eastAsia="Times New Roman" w:hAnsi="Times New Roman" w:cs="Times New Roman"/>
          <w:bCs/>
          <w:color w:val="000000"/>
          <w:sz w:val="24"/>
          <w:szCs w:val="24"/>
          <w:lang w:eastAsia="sk-SK"/>
        </w:rPr>
      </w:pPr>
      <w:r>
        <w:rPr>
          <w:rFonts w:ascii="Times New Roman" w:eastAsia="Times New Roman" w:hAnsi="Times New Roman" w:cs="Times New Roman"/>
          <w:bCs/>
          <w:color w:val="000000"/>
          <w:sz w:val="24"/>
          <w:szCs w:val="24"/>
          <w:lang w:eastAsia="sk-SK"/>
        </w:rPr>
        <w:t>Vo svojich vyjadreniach subjekty zastupujúce podnikateľov (APZD a Klub 500) neuplatnili vecné pripomienky, žiadali o zorganizovanie osobných stretnutí s cieľom diskusie o obsahu návrhu rekodifikovaného Občianskeho zákonníka.</w:t>
      </w:r>
    </w:p>
    <w:p w14:paraId="2D4CD4B0" w14:textId="5B85457D" w:rsidR="004B27EA" w:rsidRDefault="004B27EA" w:rsidP="001C7331">
      <w:pPr>
        <w:spacing w:after="0" w:line="240" w:lineRule="auto"/>
        <w:rPr>
          <w:rFonts w:ascii="Times New Roman" w:eastAsia="Times New Roman" w:hAnsi="Times New Roman" w:cs="Times New Roman"/>
          <w:bCs/>
          <w:color w:val="000000"/>
          <w:sz w:val="24"/>
          <w:szCs w:val="24"/>
          <w:lang w:eastAsia="sk-SK"/>
        </w:rPr>
      </w:pPr>
    </w:p>
    <w:p w14:paraId="22C7ADAB" w14:textId="71EC58EB" w:rsidR="004B27EA" w:rsidRDefault="004B27EA" w:rsidP="001C7331">
      <w:pPr>
        <w:spacing w:after="0" w:line="240" w:lineRule="auto"/>
        <w:rPr>
          <w:rFonts w:ascii="Times New Roman" w:eastAsia="Times New Roman" w:hAnsi="Times New Roman" w:cs="Times New Roman"/>
          <w:bCs/>
          <w:color w:val="000000"/>
          <w:sz w:val="24"/>
          <w:szCs w:val="24"/>
          <w:lang w:eastAsia="sk-SK"/>
        </w:rPr>
      </w:pPr>
      <w:r>
        <w:rPr>
          <w:rFonts w:ascii="Times New Roman" w:eastAsia="Times New Roman" w:hAnsi="Times New Roman" w:cs="Times New Roman"/>
          <w:b/>
          <w:bCs/>
          <w:color w:val="000000"/>
          <w:sz w:val="24"/>
          <w:szCs w:val="24"/>
          <w:lang w:eastAsia="sk-SK"/>
        </w:rPr>
        <w:t>Stretnutie so zástupcami podnikateľského prostredia</w:t>
      </w:r>
    </w:p>
    <w:p w14:paraId="131C16DA" w14:textId="0D0C6E80" w:rsidR="004B27EA" w:rsidRDefault="004B27EA" w:rsidP="001C7331">
      <w:pPr>
        <w:spacing w:after="0" w:line="240" w:lineRule="auto"/>
        <w:rPr>
          <w:rFonts w:ascii="Times New Roman" w:eastAsia="Times New Roman" w:hAnsi="Times New Roman" w:cs="Times New Roman"/>
          <w:bCs/>
          <w:color w:val="000000"/>
          <w:sz w:val="24"/>
          <w:szCs w:val="24"/>
          <w:lang w:eastAsia="sk-SK"/>
        </w:rPr>
      </w:pPr>
    </w:p>
    <w:p w14:paraId="2966E194" w14:textId="77777777" w:rsidR="00705E99" w:rsidRDefault="00705E99" w:rsidP="00705E99">
      <w:pPr>
        <w:spacing w:after="0" w:line="240" w:lineRule="auto"/>
        <w:jc w:val="both"/>
        <w:rPr>
          <w:rFonts w:ascii="Times New Roman" w:eastAsia="Times New Roman" w:hAnsi="Times New Roman" w:cs="Times New Roman"/>
          <w:bCs/>
          <w:color w:val="000000"/>
          <w:sz w:val="24"/>
          <w:szCs w:val="24"/>
          <w:lang w:eastAsia="sk-SK"/>
        </w:rPr>
      </w:pPr>
      <w:r w:rsidRPr="00705E99">
        <w:rPr>
          <w:rFonts w:ascii="Times New Roman" w:eastAsia="Times New Roman" w:hAnsi="Times New Roman" w:cs="Times New Roman"/>
          <w:bCs/>
          <w:color w:val="000000"/>
          <w:sz w:val="24"/>
          <w:szCs w:val="24"/>
          <w:lang w:eastAsia="sk-SK"/>
        </w:rPr>
        <w:t>Ministerstvo spravodlivosti Slovenskej republiky taktiež organizovalo aj verejnú prezentáciu východísk rekodifikácie súkromného práva v dňoch 26. júna 2025, 27. júna 2025 a 30. júna 2025, na ktorej mali svoje zastúpenie aj podnikateľské subjekty</w:t>
      </w:r>
      <w:r>
        <w:rPr>
          <w:rFonts w:ascii="Times New Roman" w:eastAsia="Times New Roman" w:hAnsi="Times New Roman" w:cs="Times New Roman"/>
          <w:bCs/>
          <w:color w:val="000000"/>
          <w:sz w:val="24"/>
          <w:szCs w:val="24"/>
          <w:lang w:eastAsia="sk-SK"/>
        </w:rPr>
        <w:t>:</w:t>
      </w:r>
    </w:p>
    <w:p w14:paraId="13CA5726" w14:textId="77777777" w:rsidR="00705E99" w:rsidRDefault="00705E99" w:rsidP="00705E99">
      <w:pPr>
        <w:spacing w:after="0" w:line="240" w:lineRule="auto"/>
        <w:jc w:val="both"/>
        <w:rPr>
          <w:rFonts w:ascii="Times New Roman" w:eastAsia="Times New Roman" w:hAnsi="Times New Roman" w:cs="Times New Roman"/>
          <w:bCs/>
          <w:color w:val="000000"/>
          <w:sz w:val="24"/>
          <w:szCs w:val="24"/>
          <w:lang w:eastAsia="sk-SK"/>
        </w:rPr>
      </w:pPr>
      <w:r>
        <w:rPr>
          <w:rFonts w:ascii="Times New Roman" w:eastAsia="Times New Roman" w:hAnsi="Times New Roman" w:cs="Times New Roman"/>
          <w:bCs/>
          <w:color w:val="000000"/>
          <w:sz w:val="24"/>
          <w:szCs w:val="24"/>
          <w:lang w:eastAsia="sk-SK"/>
        </w:rPr>
        <w:t>SBA</w:t>
      </w:r>
    </w:p>
    <w:p w14:paraId="368B3ADE" w14:textId="1A463E22" w:rsidR="00705E99" w:rsidRDefault="00705E99" w:rsidP="00705E99">
      <w:pPr>
        <w:spacing w:after="0" w:line="240" w:lineRule="auto"/>
        <w:jc w:val="both"/>
        <w:rPr>
          <w:rFonts w:ascii="Times New Roman" w:eastAsia="Times New Roman" w:hAnsi="Times New Roman" w:cs="Times New Roman"/>
          <w:bCs/>
          <w:color w:val="000000"/>
          <w:sz w:val="24"/>
          <w:szCs w:val="24"/>
          <w:lang w:eastAsia="sk-SK"/>
        </w:rPr>
      </w:pPr>
      <w:r>
        <w:rPr>
          <w:rFonts w:ascii="Times New Roman" w:eastAsia="Times New Roman" w:hAnsi="Times New Roman" w:cs="Times New Roman"/>
          <w:bCs/>
          <w:color w:val="000000"/>
          <w:sz w:val="24"/>
          <w:szCs w:val="24"/>
          <w:lang w:eastAsia="sk-SK"/>
        </w:rPr>
        <w:t>AZZZ</w:t>
      </w:r>
    </w:p>
    <w:p w14:paraId="15C518C2" w14:textId="77777777" w:rsidR="00705E99" w:rsidRDefault="00705E99" w:rsidP="00705E99">
      <w:pPr>
        <w:spacing w:after="0" w:line="240" w:lineRule="auto"/>
        <w:jc w:val="both"/>
        <w:rPr>
          <w:rFonts w:ascii="Times New Roman" w:eastAsia="Times New Roman" w:hAnsi="Times New Roman" w:cs="Times New Roman"/>
          <w:bCs/>
          <w:color w:val="000000"/>
          <w:sz w:val="24"/>
          <w:szCs w:val="24"/>
          <w:lang w:eastAsia="sk-SK"/>
        </w:rPr>
      </w:pPr>
      <w:r>
        <w:rPr>
          <w:rFonts w:ascii="Times New Roman" w:eastAsia="Times New Roman" w:hAnsi="Times New Roman" w:cs="Times New Roman"/>
          <w:bCs/>
          <w:color w:val="000000"/>
          <w:sz w:val="24"/>
          <w:szCs w:val="24"/>
          <w:lang w:eastAsia="sk-SK"/>
        </w:rPr>
        <w:t>APZD</w:t>
      </w:r>
    </w:p>
    <w:p w14:paraId="727D4941" w14:textId="77777777" w:rsidR="00705E99" w:rsidRDefault="00705E99" w:rsidP="00705E99">
      <w:pPr>
        <w:spacing w:after="0" w:line="240" w:lineRule="auto"/>
        <w:jc w:val="both"/>
        <w:rPr>
          <w:rFonts w:ascii="Times New Roman" w:eastAsia="Times New Roman" w:hAnsi="Times New Roman" w:cs="Times New Roman"/>
          <w:bCs/>
          <w:color w:val="000000"/>
          <w:sz w:val="24"/>
          <w:szCs w:val="24"/>
          <w:lang w:eastAsia="sk-SK"/>
        </w:rPr>
      </w:pPr>
      <w:r>
        <w:rPr>
          <w:rFonts w:ascii="Times New Roman" w:eastAsia="Times New Roman" w:hAnsi="Times New Roman" w:cs="Times New Roman"/>
          <w:bCs/>
          <w:color w:val="000000"/>
          <w:sz w:val="24"/>
          <w:szCs w:val="24"/>
          <w:lang w:eastAsia="sk-SK"/>
        </w:rPr>
        <w:t>RUZ</w:t>
      </w:r>
    </w:p>
    <w:p w14:paraId="067D5A0B" w14:textId="77777777" w:rsidR="00705E99" w:rsidRDefault="00705E99" w:rsidP="00705E99">
      <w:pPr>
        <w:spacing w:after="0" w:line="240" w:lineRule="auto"/>
        <w:jc w:val="both"/>
        <w:rPr>
          <w:rFonts w:ascii="Times New Roman" w:eastAsia="Times New Roman" w:hAnsi="Times New Roman" w:cs="Times New Roman"/>
          <w:bCs/>
          <w:color w:val="000000"/>
          <w:sz w:val="24"/>
          <w:szCs w:val="24"/>
          <w:lang w:eastAsia="sk-SK"/>
        </w:rPr>
      </w:pPr>
      <w:r>
        <w:rPr>
          <w:rFonts w:ascii="Times New Roman" w:eastAsia="Times New Roman" w:hAnsi="Times New Roman" w:cs="Times New Roman"/>
          <w:bCs/>
          <w:color w:val="000000"/>
          <w:sz w:val="24"/>
          <w:szCs w:val="24"/>
          <w:lang w:eastAsia="sk-SK"/>
        </w:rPr>
        <w:t>Klub500</w:t>
      </w:r>
    </w:p>
    <w:p w14:paraId="275909DE" w14:textId="77777777" w:rsidR="00705E99" w:rsidRDefault="00705E99" w:rsidP="00705E99">
      <w:pPr>
        <w:spacing w:after="0" w:line="240" w:lineRule="auto"/>
        <w:jc w:val="both"/>
        <w:rPr>
          <w:rFonts w:ascii="Times New Roman" w:eastAsia="Times New Roman" w:hAnsi="Times New Roman" w:cs="Times New Roman"/>
          <w:bCs/>
          <w:color w:val="000000"/>
          <w:sz w:val="24"/>
          <w:szCs w:val="24"/>
          <w:lang w:eastAsia="sk-SK"/>
        </w:rPr>
      </w:pPr>
      <w:r>
        <w:rPr>
          <w:rFonts w:ascii="Times New Roman" w:eastAsia="Times New Roman" w:hAnsi="Times New Roman" w:cs="Times New Roman"/>
          <w:bCs/>
          <w:color w:val="000000"/>
          <w:sz w:val="24"/>
          <w:szCs w:val="24"/>
          <w:lang w:eastAsia="sk-SK"/>
        </w:rPr>
        <w:t>SOPK</w:t>
      </w:r>
    </w:p>
    <w:p w14:paraId="2CE6DA43" w14:textId="78094C2A" w:rsidR="00705E99" w:rsidRDefault="00705E99" w:rsidP="00705E99">
      <w:pPr>
        <w:spacing w:after="0" w:line="240" w:lineRule="auto"/>
        <w:jc w:val="both"/>
        <w:rPr>
          <w:rFonts w:ascii="Times New Roman" w:eastAsia="Times New Roman" w:hAnsi="Times New Roman" w:cs="Times New Roman"/>
          <w:bCs/>
          <w:color w:val="000000"/>
          <w:sz w:val="24"/>
          <w:szCs w:val="24"/>
          <w:lang w:eastAsia="sk-SK"/>
        </w:rPr>
      </w:pPr>
      <w:proofErr w:type="spellStart"/>
      <w:r w:rsidRPr="00705E99">
        <w:rPr>
          <w:rFonts w:ascii="Times New Roman" w:eastAsia="Times New Roman" w:hAnsi="Times New Roman" w:cs="Times New Roman"/>
          <w:bCs/>
          <w:color w:val="000000"/>
          <w:sz w:val="24"/>
          <w:szCs w:val="24"/>
          <w:lang w:eastAsia="sk-SK"/>
        </w:rPr>
        <w:t>AmCham</w:t>
      </w:r>
      <w:proofErr w:type="spellEnd"/>
      <w:r>
        <w:rPr>
          <w:rFonts w:ascii="Times New Roman" w:eastAsia="Times New Roman" w:hAnsi="Times New Roman" w:cs="Times New Roman"/>
          <w:bCs/>
          <w:color w:val="000000"/>
          <w:sz w:val="24"/>
          <w:szCs w:val="24"/>
          <w:lang w:eastAsia="sk-SK"/>
        </w:rPr>
        <w:t>.</w:t>
      </w:r>
    </w:p>
    <w:p w14:paraId="17BBDB79" w14:textId="155E700D" w:rsidR="004B0EB5" w:rsidRDefault="004B0EB5" w:rsidP="00705E99">
      <w:pPr>
        <w:spacing w:after="0" w:line="240" w:lineRule="auto"/>
        <w:jc w:val="both"/>
        <w:rPr>
          <w:rFonts w:ascii="Times New Roman" w:eastAsia="Times New Roman" w:hAnsi="Times New Roman" w:cs="Times New Roman"/>
          <w:bCs/>
          <w:color w:val="000000"/>
          <w:sz w:val="24"/>
          <w:szCs w:val="24"/>
          <w:lang w:eastAsia="sk-SK"/>
        </w:rPr>
      </w:pPr>
    </w:p>
    <w:p w14:paraId="62FD59B8" w14:textId="233DBDF8" w:rsidR="004B0EB5" w:rsidRDefault="004B0EB5" w:rsidP="00705E99">
      <w:pPr>
        <w:spacing w:after="0" w:line="240" w:lineRule="auto"/>
        <w:jc w:val="both"/>
        <w:rPr>
          <w:rFonts w:ascii="Times New Roman" w:eastAsia="Times New Roman" w:hAnsi="Times New Roman" w:cs="Times New Roman"/>
          <w:bCs/>
          <w:color w:val="000000"/>
          <w:sz w:val="24"/>
          <w:szCs w:val="24"/>
          <w:lang w:eastAsia="sk-SK"/>
        </w:rPr>
      </w:pPr>
      <w:r>
        <w:rPr>
          <w:rFonts w:ascii="Times New Roman" w:eastAsia="Times New Roman" w:hAnsi="Times New Roman" w:cs="Times New Roman"/>
          <w:bCs/>
          <w:color w:val="000000"/>
          <w:sz w:val="24"/>
          <w:szCs w:val="24"/>
          <w:lang w:eastAsia="sk-SK"/>
        </w:rPr>
        <w:t>Počas verejnej prezentácie sa zástupcovia podnikateľov zaujímali o nasledovné témy:</w:t>
      </w:r>
    </w:p>
    <w:p w14:paraId="12AD8D51" w14:textId="215D0669" w:rsidR="004B0EB5" w:rsidRDefault="004B0EB5" w:rsidP="004B0EB5">
      <w:pPr>
        <w:pStyle w:val="Odsekzoznamu"/>
        <w:numPr>
          <w:ilvl w:val="0"/>
          <w:numId w:val="17"/>
        </w:numPr>
        <w:spacing w:after="0" w:line="240" w:lineRule="auto"/>
        <w:jc w:val="both"/>
        <w:rPr>
          <w:rFonts w:ascii="Times New Roman" w:eastAsia="Times New Roman" w:hAnsi="Times New Roman" w:cs="Times New Roman"/>
          <w:bCs/>
          <w:color w:val="000000"/>
          <w:sz w:val="24"/>
          <w:szCs w:val="24"/>
          <w:lang w:eastAsia="sk-SK"/>
        </w:rPr>
      </w:pPr>
      <w:r>
        <w:rPr>
          <w:rFonts w:ascii="Times New Roman" w:eastAsia="Times New Roman" w:hAnsi="Times New Roman" w:cs="Times New Roman"/>
          <w:bCs/>
          <w:color w:val="000000"/>
          <w:sz w:val="24"/>
          <w:szCs w:val="24"/>
          <w:lang w:eastAsia="sk-SK"/>
        </w:rPr>
        <w:t>právna úprava trustov – podľa rekodifikačnej komisie nebude v návrhu obsiahnutá,</w:t>
      </w:r>
    </w:p>
    <w:p w14:paraId="0C0944FE" w14:textId="58B86D6D" w:rsidR="004B0EB5" w:rsidRDefault="004B0EB5" w:rsidP="004B0EB5">
      <w:pPr>
        <w:pStyle w:val="Odsekzoznamu"/>
        <w:numPr>
          <w:ilvl w:val="0"/>
          <w:numId w:val="17"/>
        </w:numPr>
        <w:spacing w:after="0" w:line="240" w:lineRule="auto"/>
        <w:jc w:val="both"/>
        <w:rPr>
          <w:rFonts w:ascii="Times New Roman" w:eastAsia="Times New Roman" w:hAnsi="Times New Roman" w:cs="Times New Roman"/>
          <w:bCs/>
          <w:color w:val="000000"/>
          <w:sz w:val="24"/>
          <w:szCs w:val="24"/>
          <w:lang w:eastAsia="sk-SK"/>
        </w:rPr>
      </w:pPr>
      <w:r>
        <w:rPr>
          <w:rFonts w:ascii="Times New Roman" w:eastAsia="Times New Roman" w:hAnsi="Times New Roman" w:cs="Times New Roman"/>
          <w:bCs/>
          <w:color w:val="000000"/>
          <w:sz w:val="24"/>
          <w:szCs w:val="24"/>
          <w:lang w:eastAsia="sk-SK"/>
        </w:rPr>
        <w:t>či sa plánuje zavádzať aj právna subjektivita umelej inteligencie - podľa rekodifikačnej komisie nebude v návrhu obsiahnutá, právne aspekty sú v súčasnosti len v začiatkoch,</w:t>
      </w:r>
    </w:p>
    <w:p w14:paraId="7F3DD56D" w14:textId="01EED080" w:rsidR="004B0EB5" w:rsidRDefault="004B0EB5" w:rsidP="004B0EB5">
      <w:pPr>
        <w:pStyle w:val="Odsekzoznamu"/>
        <w:numPr>
          <w:ilvl w:val="0"/>
          <w:numId w:val="17"/>
        </w:numPr>
        <w:spacing w:after="0" w:line="240" w:lineRule="auto"/>
        <w:jc w:val="both"/>
        <w:rPr>
          <w:rFonts w:ascii="Times New Roman" w:eastAsia="Times New Roman" w:hAnsi="Times New Roman" w:cs="Times New Roman"/>
          <w:bCs/>
          <w:color w:val="000000"/>
          <w:sz w:val="24"/>
          <w:szCs w:val="24"/>
          <w:lang w:eastAsia="sk-SK"/>
        </w:rPr>
      </w:pPr>
      <w:r>
        <w:rPr>
          <w:rFonts w:ascii="Times New Roman" w:eastAsia="Times New Roman" w:hAnsi="Times New Roman" w:cs="Times New Roman"/>
          <w:bCs/>
          <w:color w:val="000000"/>
          <w:sz w:val="24"/>
          <w:szCs w:val="24"/>
          <w:lang w:eastAsia="sk-SK"/>
        </w:rPr>
        <w:t>či sa plánuje zaviesť právna úprava lízingovej zmluvy - podľa rekodifikačnej komisie bude umožnená prostredníctvom nepomenovaných kontraktov,</w:t>
      </w:r>
    </w:p>
    <w:p w14:paraId="7D128BC0" w14:textId="753BBBED" w:rsidR="004B0EB5" w:rsidRPr="004B0EB5" w:rsidRDefault="004B0EB5" w:rsidP="004B0EB5">
      <w:pPr>
        <w:pStyle w:val="Odsekzoznamu"/>
        <w:numPr>
          <w:ilvl w:val="0"/>
          <w:numId w:val="17"/>
        </w:numPr>
        <w:spacing w:after="0" w:line="240" w:lineRule="auto"/>
        <w:jc w:val="both"/>
        <w:rPr>
          <w:rFonts w:ascii="Times New Roman" w:eastAsia="Times New Roman" w:hAnsi="Times New Roman" w:cs="Times New Roman"/>
          <w:bCs/>
          <w:color w:val="000000"/>
          <w:sz w:val="24"/>
          <w:szCs w:val="24"/>
          <w:lang w:eastAsia="sk-SK"/>
        </w:rPr>
      </w:pPr>
      <w:r>
        <w:rPr>
          <w:rFonts w:ascii="Times New Roman" w:eastAsia="Times New Roman" w:hAnsi="Times New Roman" w:cs="Times New Roman"/>
          <w:bCs/>
          <w:color w:val="000000"/>
          <w:sz w:val="24"/>
          <w:szCs w:val="24"/>
          <w:lang w:eastAsia="sk-SK"/>
        </w:rPr>
        <w:lastRenderedPageBreak/>
        <w:t>právna úprava prechodných ustanovení - podľa rekodifikačnej komisie by mali byť prechodné ustanovenie odlišné vo vzťahu k rôznym inštitútom a malo by byť umožnené, aby si – v súlade s princípom zmluvnej slobody – strany právneho úkonu vymienili aj použitie nových pravidiel na staršie právne vzťahy.</w:t>
      </w:r>
    </w:p>
    <w:p w14:paraId="2942BE8C" w14:textId="77777777" w:rsidR="00705E99" w:rsidRDefault="00705E99" w:rsidP="00705E99">
      <w:pPr>
        <w:spacing w:after="0" w:line="240" w:lineRule="auto"/>
        <w:jc w:val="both"/>
        <w:rPr>
          <w:rFonts w:ascii="Times New Roman" w:eastAsia="Times New Roman" w:hAnsi="Times New Roman" w:cs="Times New Roman"/>
          <w:bCs/>
          <w:color w:val="000000"/>
          <w:sz w:val="24"/>
          <w:szCs w:val="24"/>
          <w:lang w:eastAsia="sk-SK"/>
        </w:rPr>
      </w:pPr>
    </w:p>
    <w:p w14:paraId="30F7CC23" w14:textId="1F7A134A" w:rsidR="004B27EA" w:rsidRPr="004B27EA" w:rsidRDefault="00705E99" w:rsidP="00705E99">
      <w:pPr>
        <w:spacing w:after="0" w:line="240" w:lineRule="auto"/>
        <w:jc w:val="both"/>
        <w:rPr>
          <w:rFonts w:ascii="Times New Roman" w:eastAsia="Times New Roman" w:hAnsi="Times New Roman" w:cs="Times New Roman"/>
          <w:bCs/>
          <w:color w:val="000000"/>
          <w:sz w:val="24"/>
          <w:szCs w:val="24"/>
          <w:lang w:eastAsia="sk-SK"/>
        </w:rPr>
      </w:pPr>
      <w:r w:rsidRPr="00705E99">
        <w:rPr>
          <w:rFonts w:ascii="Times New Roman" w:eastAsia="Times New Roman" w:hAnsi="Times New Roman" w:cs="Times New Roman"/>
          <w:bCs/>
          <w:color w:val="000000"/>
          <w:sz w:val="24"/>
          <w:szCs w:val="24"/>
          <w:lang w:eastAsia="sk-SK"/>
        </w:rPr>
        <w:t xml:space="preserve">Po verejných prezentáciách boli na webovom sídle ministerstva zverejnené pracovné materiály rekodifikačnej komisie spolu s možnosťou zasielania komentárov a otázok prostredníctvom kontaktného formulára.  </w:t>
      </w:r>
    </w:p>
    <w:p w14:paraId="11C2B6BB" w14:textId="77777777" w:rsidR="001C7331" w:rsidRPr="00B24EFE" w:rsidRDefault="001C7331" w:rsidP="001C7331">
      <w:pPr>
        <w:spacing w:after="0" w:line="240" w:lineRule="auto"/>
        <w:rPr>
          <w:rFonts w:ascii="Times New Roman" w:hAnsi="Times New Roman" w:cs="Times New Roman"/>
          <w:sz w:val="24"/>
          <w:szCs w:val="24"/>
        </w:rPr>
      </w:pPr>
    </w:p>
    <w:p w14:paraId="609C066C" w14:textId="77777777" w:rsidR="00054C41" w:rsidRPr="00B24EFE" w:rsidRDefault="00054C41" w:rsidP="00054C41">
      <w:pPr>
        <w:jc w:val="both"/>
        <w:rPr>
          <w:rFonts w:ascii="Times New Roman" w:eastAsia="Calibri" w:hAnsi="Times New Roman" w:cs="Times New Roman"/>
          <w:b/>
          <w:sz w:val="24"/>
          <w:szCs w:val="24"/>
        </w:rPr>
      </w:pPr>
      <w:bookmarkStart w:id="0" w:name="_Hlk47698091"/>
      <w:r w:rsidRPr="00B24EFE">
        <w:rPr>
          <w:rFonts w:ascii="Times New Roman" w:eastAsia="Calibri" w:hAnsi="Times New Roman" w:cs="Times New Roman"/>
          <w:b/>
          <w:sz w:val="24"/>
          <w:szCs w:val="24"/>
        </w:rPr>
        <w:t>3.3 Vplyvy na konkurencieschopnosť a produktivitu</w:t>
      </w:r>
    </w:p>
    <w:bookmarkEnd w:id="0"/>
    <w:p w14:paraId="5CAF52B4" w14:textId="77777777" w:rsidR="00054C41" w:rsidRPr="009A0103" w:rsidRDefault="00054C41" w:rsidP="00054C41">
      <w:pPr>
        <w:spacing w:after="0"/>
        <w:jc w:val="both"/>
        <w:rPr>
          <w:rFonts w:ascii="Times New Roman" w:eastAsia="Calibri" w:hAnsi="Times New Roman" w:cs="Times New Roman"/>
          <w:i/>
          <w:sz w:val="24"/>
          <w:szCs w:val="24"/>
        </w:rPr>
      </w:pPr>
      <w:r w:rsidRPr="009A0103">
        <w:rPr>
          <w:rFonts w:ascii="Times New Roman" w:eastAsia="Calibri" w:hAnsi="Times New Roman" w:cs="Times New Roman"/>
          <w:i/>
          <w:sz w:val="24"/>
          <w:szCs w:val="24"/>
        </w:rPr>
        <w:t xml:space="preserve">Dochádza k vytvoreniu resp. k zmene bariér na trhu? </w:t>
      </w:r>
    </w:p>
    <w:p w14:paraId="4D049DE7" w14:textId="77777777" w:rsidR="00054C41" w:rsidRPr="009A0103" w:rsidRDefault="00054C41" w:rsidP="00054C41">
      <w:pPr>
        <w:spacing w:after="0"/>
        <w:jc w:val="both"/>
        <w:rPr>
          <w:rFonts w:ascii="Times New Roman" w:eastAsia="Calibri" w:hAnsi="Times New Roman" w:cs="Times New Roman"/>
          <w:i/>
          <w:sz w:val="24"/>
          <w:szCs w:val="24"/>
        </w:rPr>
      </w:pPr>
      <w:r w:rsidRPr="009A0103">
        <w:rPr>
          <w:rFonts w:ascii="Times New Roman" w:eastAsia="Calibri" w:hAnsi="Times New Roman" w:cs="Times New Roman"/>
          <w:i/>
          <w:sz w:val="24"/>
          <w:szCs w:val="24"/>
        </w:rPr>
        <w:t xml:space="preserve">Bude sa s niektorými podnikmi alebo produktmi zaobchádzať v porovnateľnej situácii rôzne (napr. špeciálne režimy pre </w:t>
      </w:r>
      <w:proofErr w:type="spellStart"/>
      <w:r w:rsidRPr="009A0103">
        <w:rPr>
          <w:rFonts w:ascii="Times New Roman" w:eastAsia="Calibri" w:hAnsi="Times New Roman" w:cs="Times New Roman"/>
          <w:i/>
          <w:sz w:val="24"/>
          <w:szCs w:val="24"/>
        </w:rPr>
        <w:t>mikro</w:t>
      </w:r>
      <w:proofErr w:type="spellEnd"/>
      <w:r w:rsidRPr="009A0103">
        <w:rPr>
          <w:rFonts w:ascii="Times New Roman" w:eastAsia="Calibri" w:hAnsi="Times New Roman" w:cs="Times New Roman"/>
          <w:i/>
          <w:sz w:val="24"/>
          <w:szCs w:val="24"/>
        </w:rPr>
        <w:t xml:space="preserve">, malé a stredné podniky tzv. MSP)? </w:t>
      </w:r>
    </w:p>
    <w:p w14:paraId="452A90F1" w14:textId="77777777" w:rsidR="00054C41" w:rsidRPr="009A0103" w:rsidRDefault="00054C41" w:rsidP="00054C41">
      <w:pPr>
        <w:spacing w:after="0"/>
        <w:jc w:val="both"/>
        <w:rPr>
          <w:rFonts w:ascii="Times New Roman" w:eastAsia="Calibri" w:hAnsi="Times New Roman" w:cs="Times New Roman"/>
          <w:i/>
          <w:sz w:val="24"/>
          <w:szCs w:val="24"/>
        </w:rPr>
      </w:pPr>
      <w:r w:rsidRPr="009A0103">
        <w:rPr>
          <w:rFonts w:ascii="Times New Roman" w:eastAsia="Calibri" w:hAnsi="Times New Roman" w:cs="Times New Roman"/>
          <w:i/>
          <w:sz w:val="24"/>
          <w:szCs w:val="24"/>
        </w:rPr>
        <w:t xml:space="preserve">Ovplyvňuje zmena regulácie cezhraničné investície (príliv/odliv zahraničných investícií resp. uplatnenie slovenských podnikov na zahraničných trhoch)? </w:t>
      </w:r>
    </w:p>
    <w:p w14:paraId="0D074838" w14:textId="77777777" w:rsidR="00054C41" w:rsidRPr="009A0103" w:rsidRDefault="00054C41" w:rsidP="00054C41">
      <w:pPr>
        <w:spacing w:after="0"/>
        <w:jc w:val="both"/>
        <w:rPr>
          <w:rFonts w:ascii="Times New Roman" w:eastAsia="Calibri" w:hAnsi="Times New Roman" w:cs="Times New Roman"/>
          <w:i/>
          <w:sz w:val="24"/>
          <w:szCs w:val="24"/>
        </w:rPr>
      </w:pPr>
      <w:r w:rsidRPr="009A0103">
        <w:rPr>
          <w:rFonts w:ascii="Times New Roman" w:eastAsia="Calibri" w:hAnsi="Times New Roman" w:cs="Times New Roman"/>
          <w:i/>
          <w:sz w:val="24"/>
          <w:szCs w:val="24"/>
        </w:rPr>
        <w:t xml:space="preserve">Ovplyvní dostupnosť základných zdrojov (financie, pracovná sila, suroviny, mechanizmy, energie atď.)? </w:t>
      </w:r>
    </w:p>
    <w:p w14:paraId="6B6A3793" w14:textId="77777777" w:rsidR="007259CB" w:rsidRPr="009A0103" w:rsidRDefault="007259CB" w:rsidP="00054C41">
      <w:pPr>
        <w:spacing w:after="0"/>
        <w:jc w:val="both"/>
        <w:rPr>
          <w:rFonts w:ascii="Times New Roman" w:eastAsia="Calibri" w:hAnsi="Times New Roman" w:cs="Times New Roman"/>
          <w:i/>
          <w:sz w:val="24"/>
          <w:szCs w:val="24"/>
        </w:rPr>
      </w:pPr>
      <w:r w:rsidRPr="009A0103">
        <w:rPr>
          <w:rFonts w:ascii="Times New Roman" w:eastAsia="Calibri" w:hAnsi="Times New Roman" w:cs="Times New Roman"/>
          <w:i/>
          <w:sz w:val="24"/>
          <w:szCs w:val="24"/>
        </w:rPr>
        <w:t>Ovplyvňuje zmena regulácie inovácie, vedu a výskum?</w:t>
      </w:r>
    </w:p>
    <w:p w14:paraId="64E2FB2F" w14:textId="77777777" w:rsidR="00BA19B0" w:rsidRPr="009A0103" w:rsidRDefault="00BA19B0" w:rsidP="00054C41">
      <w:pPr>
        <w:spacing w:after="0"/>
        <w:jc w:val="both"/>
        <w:rPr>
          <w:rFonts w:ascii="Times New Roman" w:eastAsia="Calibri" w:hAnsi="Times New Roman" w:cs="Times New Roman"/>
          <w:i/>
          <w:sz w:val="24"/>
          <w:szCs w:val="24"/>
        </w:rPr>
      </w:pPr>
      <w:r w:rsidRPr="009A0103">
        <w:rPr>
          <w:rFonts w:ascii="Times New Roman" w:eastAsia="Calibri" w:hAnsi="Times New Roman" w:cs="Times New Roman"/>
          <w:i/>
          <w:sz w:val="24"/>
          <w:szCs w:val="24"/>
        </w:rPr>
        <w:t xml:space="preserve">Ak bol identifikovaný </w:t>
      </w:r>
      <w:proofErr w:type="spellStart"/>
      <w:r w:rsidRPr="009A0103">
        <w:rPr>
          <w:rFonts w:ascii="Times New Roman" w:eastAsia="Calibri" w:hAnsi="Times New Roman" w:cs="Times New Roman"/>
          <w:i/>
          <w:sz w:val="24"/>
          <w:szCs w:val="24"/>
        </w:rPr>
        <w:t>goldplating</w:t>
      </w:r>
      <w:proofErr w:type="spellEnd"/>
      <w:r w:rsidR="00581EB9" w:rsidRPr="009A0103">
        <w:rPr>
          <w:rFonts w:ascii="Times New Roman" w:eastAsia="Calibri" w:hAnsi="Times New Roman" w:cs="Times New Roman"/>
          <w:i/>
          <w:sz w:val="24"/>
          <w:szCs w:val="24"/>
        </w:rPr>
        <w:t>,</w:t>
      </w:r>
      <w:r w:rsidR="00C14655" w:rsidRPr="009A0103">
        <w:rPr>
          <w:rFonts w:ascii="Times New Roman" w:eastAsia="Calibri" w:hAnsi="Times New Roman" w:cs="Times New Roman"/>
          <w:i/>
          <w:sz w:val="24"/>
          <w:szCs w:val="24"/>
        </w:rPr>
        <w:t xml:space="preserve"> prispieva k zníženiu konkurencieschopnosti a produktivity?</w:t>
      </w:r>
      <w:r w:rsidR="00581EB9" w:rsidRPr="009A0103">
        <w:rPr>
          <w:rFonts w:ascii="Times New Roman" w:eastAsia="Calibri" w:hAnsi="Times New Roman" w:cs="Times New Roman"/>
          <w:i/>
          <w:sz w:val="24"/>
          <w:szCs w:val="24"/>
        </w:rPr>
        <w:t xml:space="preserve"> Akým spôsobom?</w:t>
      </w:r>
    </w:p>
    <w:p w14:paraId="72CB32C8" w14:textId="77777777" w:rsidR="00054C41" w:rsidRPr="009A0103" w:rsidRDefault="00054C41" w:rsidP="00054C41">
      <w:pPr>
        <w:spacing w:after="0"/>
        <w:jc w:val="both"/>
        <w:rPr>
          <w:rFonts w:ascii="Times New Roman" w:eastAsia="Calibri" w:hAnsi="Times New Roman" w:cs="Times New Roman"/>
          <w:i/>
          <w:sz w:val="24"/>
          <w:szCs w:val="24"/>
        </w:rPr>
      </w:pPr>
      <w:r w:rsidRPr="009A0103">
        <w:rPr>
          <w:rFonts w:ascii="Times New Roman" w:eastAsia="Calibri" w:hAnsi="Times New Roman" w:cs="Times New Roman"/>
          <w:i/>
          <w:iCs/>
          <w:sz w:val="24"/>
          <w:szCs w:val="24"/>
        </w:rPr>
        <w:t>Ako prispieva zmena regulácie k cieľu Slovenska mať najlepšie podnikateľské prostredie spomedzi susediacich krajín EÚ?</w:t>
      </w:r>
    </w:p>
    <w:p w14:paraId="78681465" w14:textId="77777777" w:rsidR="00054C41" w:rsidRPr="009A0103" w:rsidRDefault="00054C41" w:rsidP="00054C41">
      <w:pPr>
        <w:spacing w:after="0"/>
        <w:jc w:val="both"/>
        <w:rPr>
          <w:rFonts w:ascii="Times New Roman" w:eastAsia="Calibri" w:hAnsi="Times New Roman" w:cs="Times New Roman"/>
          <w:i/>
          <w:sz w:val="24"/>
          <w:szCs w:val="24"/>
        </w:rPr>
      </w:pPr>
    </w:p>
    <w:p w14:paraId="4BE35CB4" w14:textId="77777777" w:rsidR="00054C41" w:rsidRPr="009A0103" w:rsidRDefault="00054C41" w:rsidP="00054C41">
      <w:pPr>
        <w:spacing w:after="0"/>
        <w:jc w:val="both"/>
        <w:rPr>
          <w:rFonts w:ascii="Times New Roman" w:eastAsia="Calibri" w:hAnsi="Times New Roman" w:cs="Times New Roman"/>
          <w:b/>
          <w:i/>
          <w:sz w:val="24"/>
          <w:szCs w:val="24"/>
        </w:rPr>
      </w:pPr>
      <w:r w:rsidRPr="009A0103">
        <w:rPr>
          <w:rFonts w:ascii="Times New Roman" w:eastAsia="Calibri" w:hAnsi="Times New Roman" w:cs="Times New Roman"/>
          <w:b/>
          <w:i/>
          <w:sz w:val="24"/>
          <w:szCs w:val="24"/>
        </w:rPr>
        <w:t>Konkurencieschopnosť:</w:t>
      </w:r>
    </w:p>
    <w:p w14:paraId="6C684286" w14:textId="77777777" w:rsidR="00054C41" w:rsidRPr="009A0103" w:rsidRDefault="00054C41" w:rsidP="00054C41">
      <w:pPr>
        <w:spacing w:after="0"/>
        <w:jc w:val="both"/>
        <w:rPr>
          <w:rFonts w:ascii="Times New Roman" w:eastAsia="Calibri" w:hAnsi="Times New Roman" w:cs="Times New Roman"/>
          <w:i/>
          <w:sz w:val="24"/>
          <w:szCs w:val="24"/>
        </w:rPr>
      </w:pPr>
      <w:r w:rsidRPr="009A0103">
        <w:rPr>
          <w:rFonts w:ascii="Times New Roman" w:eastAsia="Calibri" w:hAnsi="Times New Roman" w:cs="Times New Roman"/>
          <w:i/>
          <w:sz w:val="24"/>
          <w:szCs w:val="24"/>
        </w:rPr>
        <w:t>Na základe uvedených odpovedí zaškrtnite a popíšte, či materiál konkurencieschopnosť:</w:t>
      </w:r>
    </w:p>
    <w:p w14:paraId="76CD0669" w14:textId="04957411" w:rsidR="00054C41" w:rsidRPr="009A0103" w:rsidRDefault="00FF7A63" w:rsidP="00054C41">
      <w:pPr>
        <w:spacing w:after="0"/>
        <w:jc w:val="both"/>
        <w:rPr>
          <w:rFonts w:ascii="Times New Roman" w:eastAsia="Calibri" w:hAnsi="Times New Roman" w:cs="Times New Roman"/>
          <w:i/>
          <w:sz w:val="24"/>
          <w:szCs w:val="24"/>
        </w:rPr>
      </w:pPr>
      <w:sdt>
        <w:sdtPr>
          <w:rPr>
            <w:rFonts w:ascii="Times New Roman" w:eastAsia="Calibri" w:hAnsi="Times New Roman" w:cs="Times New Roman"/>
            <w:i/>
            <w:sz w:val="24"/>
            <w:szCs w:val="24"/>
          </w:rPr>
          <w:id w:val="798576880"/>
        </w:sdtPr>
        <w:sdtEndPr/>
        <w:sdtContent>
          <w:sdt>
            <w:sdtPr>
              <w:rPr>
                <w:rFonts w:ascii="Times New Roman" w:eastAsia="Calibri" w:hAnsi="Times New Roman" w:cs="Times New Roman"/>
                <w:i/>
                <w:sz w:val="24"/>
                <w:szCs w:val="24"/>
              </w:rPr>
              <w:id w:val="1729873660"/>
            </w:sdtPr>
            <w:sdtEndPr/>
            <w:sdtContent>
              <w:sdt>
                <w:sdtPr>
                  <w:rPr>
                    <w:rFonts w:ascii="Times New Roman" w:eastAsia="Calibri" w:hAnsi="Times New Roman" w:cs="Times New Roman"/>
                    <w:i/>
                    <w:sz w:val="24"/>
                    <w:szCs w:val="24"/>
                  </w:rPr>
                  <w:id w:val="-1095632131"/>
                </w:sdtPr>
                <w:sdtEndPr/>
                <w:sdtContent>
                  <w:sdt>
                    <w:sdtPr>
                      <w:rPr>
                        <w:rFonts w:ascii="Times New Roman" w:eastAsia="Calibri" w:hAnsi="Times New Roman" w:cs="Times New Roman"/>
                        <w:i/>
                        <w:sz w:val="24"/>
                        <w:szCs w:val="24"/>
                      </w:rPr>
                      <w:id w:val="-1912987594"/>
                    </w:sdtPr>
                    <w:sdtEndPr/>
                    <w:sdtContent>
                      <w:sdt>
                        <w:sdtPr>
                          <w:rPr>
                            <w:rFonts w:ascii="Times New Roman" w:eastAsia="Calibri" w:hAnsi="Times New Roman" w:cs="Times New Roman"/>
                            <w:i/>
                            <w:sz w:val="24"/>
                            <w:szCs w:val="24"/>
                          </w:rPr>
                          <w:id w:val="-1317332080"/>
                        </w:sdtPr>
                        <w:sdtEndPr/>
                        <w:sdtContent>
                          <w:sdt>
                            <w:sdtPr>
                              <w:rPr>
                                <w:rFonts w:ascii="Times New Roman" w:eastAsia="Calibri" w:hAnsi="Times New Roman" w:cs="Times New Roman"/>
                                <w:i/>
                                <w:sz w:val="24"/>
                                <w:szCs w:val="24"/>
                              </w:rPr>
                              <w:id w:val="1189490278"/>
                            </w:sdtPr>
                            <w:sdtEndPr/>
                            <w:sdtContent>
                              <w:sdt>
                                <w:sdtPr>
                                  <w:rPr>
                                    <w:rFonts w:ascii="Times New Roman" w:eastAsia="Calibri" w:hAnsi="Times New Roman" w:cs="Times New Roman"/>
                                    <w:i/>
                                    <w:sz w:val="24"/>
                                    <w:szCs w:val="24"/>
                                  </w:rPr>
                                  <w:id w:val="1026834082"/>
                                </w:sdtPr>
                                <w:sdtEndPr/>
                                <w:sdtContent>
                                  <w:r w:rsidR="00D3068D" w:rsidRPr="009A0103">
                                    <w:rPr>
                                      <w:rFonts w:ascii="Segoe UI Symbol" w:eastAsia="Calibri" w:hAnsi="Segoe UI Symbol" w:cs="Segoe UI Symbol"/>
                                      <w:i/>
                                      <w:sz w:val="24"/>
                                      <w:szCs w:val="24"/>
                                    </w:rPr>
                                    <w:t>☐</w:t>
                                  </w:r>
                                </w:sdtContent>
                              </w:sdt>
                            </w:sdtContent>
                          </w:sdt>
                        </w:sdtContent>
                      </w:sdt>
                    </w:sdtContent>
                  </w:sdt>
                </w:sdtContent>
              </w:sdt>
            </w:sdtContent>
          </w:sdt>
        </w:sdtContent>
      </w:sdt>
      <w:r w:rsidR="00054C41" w:rsidRPr="009A0103">
        <w:rPr>
          <w:rFonts w:ascii="Times New Roman" w:eastAsia="Calibri" w:hAnsi="Times New Roman" w:cs="Times New Roman"/>
          <w:i/>
          <w:sz w:val="24"/>
          <w:szCs w:val="24"/>
        </w:rPr>
        <w:t xml:space="preserve"> zvyšuje  </w:t>
      </w:r>
      <w:r w:rsidR="00054C41" w:rsidRPr="009A0103">
        <w:rPr>
          <w:rFonts w:ascii="Times New Roman" w:eastAsia="Calibri" w:hAnsi="Times New Roman" w:cs="Times New Roman"/>
          <w:i/>
          <w:sz w:val="24"/>
          <w:szCs w:val="24"/>
        </w:rPr>
        <w:tab/>
      </w:r>
      <w:sdt>
        <w:sdtPr>
          <w:rPr>
            <w:rFonts w:ascii="Times New Roman" w:eastAsia="Calibri" w:hAnsi="Times New Roman" w:cs="Times New Roman"/>
            <w:i/>
            <w:sz w:val="24"/>
            <w:szCs w:val="24"/>
          </w:rPr>
          <w:id w:val="410579887"/>
        </w:sdtPr>
        <w:sdtEndPr/>
        <w:sdtContent>
          <w:sdt>
            <w:sdtPr>
              <w:rPr>
                <w:rFonts w:ascii="Times New Roman" w:eastAsia="Calibri" w:hAnsi="Times New Roman" w:cs="Times New Roman"/>
                <w:i/>
                <w:sz w:val="24"/>
                <w:szCs w:val="24"/>
              </w:rPr>
              <w:id w:val="-80300261"/>
            </w:sdtPr>
            <w:sdtEndPr/>
            <w:sdtContent>
              <w:sdt>
                <w:sdtPr>
                  <w:rPr>
                    <w:rFonts w:ascii="Times New Roman" w:eastAsia="Calibri" w:hAnsi="Times New Roman" w:cs="Times New Roman"/>
                    <w:i/>
                    <w:sz w:val="24"/>
                    <w:szCs w:val="24"/>
                  </w:rPr>
                  <w:id w:val="1219550796"/>
                </w:sdtPr>
                <w:sdtEndPr/>
                <w:sdtContent>
                  <w:sdt>
                    <w:sdtPr>
                      <w:rPr>
                        <w:rFonts w:ascii="Times New Roman" w:eastAsia="Calibri" w:hAnsi="Times New Roman" w:cs="Times New Roman"/>
                        <w:i/>
                        <w:sz w:val="24"/>
                        <w:szCs w:val="24"/>
                      </w:rPr>
                      <w:id w:val="-719671348"/>
                    </w:sdtPr>
                    <w:sdtEndPr/>
                    <w:sdtContent>
                      <w:sdt>
                        <w:sdtPr>
                          <w:rPr>
                            <w:rFonts w:ascii="Times New Roman" w:eastAsia="Calibri" w:hAnsi="Times New Roman" w:cs="Times New Roman"/>
                            <w:i/>
                            <w:sz w:val="24"/>
                            <w:szCs w:val="24"/>
                          </w:rPr>
                          <w:id w:val="-1875835508"/>
                        </w:sdtPr>
                        <w:sdtEndPr/>
                        <w:sdtContent>
                          <w:r w:rsidR="00E15680" w:rsidRPr="009A0103">
                            <w:rPr>
                              <w:rFonts w:ascii="Cambria Math" w:eastAsia="Calibri" w:hAnsi="Cambria Math" w:cs="Cambria Math"/>
                              <w:i/>
                              <w:sz w:val="24"/>
                              <w:szCs w:val="24"/>
                            </w:rPr>
                            <w:t>⌧</w:t>
                          </w:r>
                        </w:sdtContent>
                      </w:sdt>
                    </w:sdtContent>
                  </w:sdt>
                </w:sdtContent>
              </w:sdt>
            </w:sdtContent>
          </w:sdt>
        </w:sdtContent>
      </w:sdt>
      <w:r w:rsidR="00054C41" w:rsidRPr="009A0103">
        <w:rPr>
          <w:rFonts w:ascii="Times New Roman" w:eastAsia="Calibri" w:hAnsi="Times New Roman" w:cs="Times New Roman"/>
          <w:i/>
          <w:sz w:val="24"/>
          <w:szCs w:val="24"/>
        </w:rPr>
        <w:t xml:space="preserve"> nemení</w:t>
      </w:r>
      <w:r w:rsidR="00054C41" w:rsidRPr="009A0103">
        <w:rPr>
          <w:rFonts w:ascii="Times New Roman" w:eastAsia="Calibri" w:hAnsi="Times New Roman" w:cs="Times New Roman"/>
          <w:i/>
          <w:sz w:val="24"/>
          <w:szCs w:val="24"/>
        </w:rPr>
        <w:tab/>
      </w:r>
      <w:sdt>
        <w:sdtPr>
          <w:rPr>
            <w:rFonts w:ascii="Times New Roman" w:eastAsia="Calibri" w:hAnsi="Times New Roman" w:cs="Times New Roman"/>
            <w:i/>
            <w:sz w:val="24"/>
            <w:szCs w:val="24"/>
          </w:rPr>
          <w:id w:val="-474604883"/>
        </w:sdtPr>
        <w:sdtEndPr/>
        <w:sdtContent>
          <w:sdt>
            <w:sdtPr>
              <w:rPr>
                <w:rFonts w:ascii="Times New Roman" w:eastAsia="Calibri" w:hAnsi="Times New Roman" w:cs="Times New Roman"/>
                <w:i/>
                <w:sz w:val="24"/>
                <w:szCs w:val="24"/>
              </w:rPr>
              <w:id w:val="-1706551548"/>
            </w:sdtPr>
            <w:sdtEndPr/>
            <w:sdtContent>
              <w:sdt>
                <w:sdtPr>
                  <w:rPr>
                    <w:rFonts w:ascii="Times New Roman" w:eastAsia="Calibri" w:hAnsi="Times New Roman" w:cs="Times New Roman"/>
                    <w:i/>
                    <w:sz w:val="24"/>
                    <w:szCs w:val="24"/>
                  </w:rPr>
                  <w:id w:val="-1009364566"/>
                </w:sdtPr>
                <w:sdtEndPr/>
                <w:sdtContent>
                  <w:sdt>
                    <w:sdtPr>
                      <w:rPr>
                        <w:rFonts w:ascii="Times New Roman" w:eastAsia="Calibri" w:hAnsi="Times New Roman" w:cs="Times New Roman"/>
                        <w:i/>
                        <w:sz w:val="24"/>
                        <w:szCs w:val="24"/>
                      </w:rPr>
                      <w:id w:val="-594243475"/>
                    </w:sdtPr>
                    <w:sdtEndPr/>
                    <w:sdtContent>
                      <w:r w:rsidR="00E15680" w:rsidRPr="009A0103">
                        <w:rPr>
                          <w:rFonts w:ascii="Segoe UI Symbol" w:eastAsia="Calibri" w:hAnsi="Segoe UI Symbol" w:cs="Segoe UI Symbol"/>
                          <w:i/>
                          <w:sz w:val="24"/>
                          <w:szCs w:val="24"/>
                        </w:rPr>
                        <w:t>☐</w:t>
                      </w:r>
                    </w:sdtContent>
                  </w:sdt>
                </w:sdtContent>
              </w:sdt>
            </w:sdtContent>
          </w:sdt>
        </w:sdtContent>
      </w:sdt>
      <w:r w:rsidR="00054C41" w:rsidRPr="009A0103">
        <w:rPr>
          <w:rFonts w:ascii="Times New Roman" w:eastAsia="Calibri" w:hAnsi="Times New Roman" w:cs="Times New Roman"/>
          <w:i/>
          <w:sz w:val="24"/>
          <w:szCs w:val="24"/>
        </w:rPr>
        <w:t xml:space="preserve"> znižuje</w:t>
      </w:r>
    </w:p>
    <w:p w14:paraId="06F06D4F" w14:textId="75DB53CF" w:rsidR="00FA0EC5" w:rsidRDefault="00FA0EC5" w:rsidP="00054C41">
      <w:pPr>
        <w:spacing w:after="0"/>
        <w:jc w:val="both"/>
        <w:rPr>
          <w:rFonts w:ascii="Times New Roman" w:eastAsia="Calibri" w:hAnsi="Times New Roman" w:cs="Times New Roman"/>
          <w:i/>
          <w:sz w:val="24"/>
          <w:szCs w:val="24"/>
        </w:rPr>
      </w:pPr>
    </w:p>
    <w:p w14:paraId="7A2B219C" w14:textId="191F4612" w:rsidR="00E15680" w:rsidRPr="00E15680" w:rsidRDefault="00E15680" w:rsidP="00054C41">
      <w:pPr>
        <w:spacing w:after="0"/>
        <w:jc w:val="both"/>
        <w:rPr>
          <w:rFonts w:ascii="Times New Roman" w:eastAsia="Calibri" w:hAnsi="Times New Roman" w:cs="Times New Roman"/>
          <w:sz w:val="24"/>
          <w:szCs w:val="24"/>
        </w:rPr>
      </w:pPr>
      <w:r>
        <w:rPr>
          <w:rFonts w:ascii="Times New Roman" w:eastAsia="Calibri" w:hAnsi="Times New Roman" w:cs="Times New Roman"/>
          <w:sz w:val="24"/>
          <w:szCs w:val="24"/>
        </w:rPr>
        <w:t>Ned</w:t>
      </w:r>
      <w:r w:rsidRPr="00E15680">
        <w:rPr>
          <w:rFonts w:ascii="Times New Roman" w:eastAsia="Calibri" w:hAnsi="Times New Roman" w:cs="Times New Roman"/>
          <w:sz w:val="24"/>
          <w:szCs w:val="24"/>
        </w:rPr>
        <w:t>ochádza k vytvoreniu resp. k zmene bariér na trhu</w:t>
      </w:r>
      <w:r>
        <w:rPr>
          <w:rFonts w:ascii="Times New Roman" w:eastAsia="Calibri" w:hAnsi="Times New Roman" w:cs="Times New Roman"/>
          <w:sz w:val="24"/>
          <w:szCs w:val="24"/>
        </w:rPr>
        <w:t>.</w:t>
      </w:r>
    </w:p>
    <w:p w14:paraId="47389E2D" w14:textId="77777777" w:rsidR="009A0103" w:rsidRPr="009A0103" w:rsidRDefault="00497B4D" w:rsidP="00054C41">
      <w:pPr>
        <w:spacing w:after="0"/>
        <w:jc w:val="both"/>
        <w:rPr>
          <w:rFonts w:ascii="Times New Roman" w:eastAsia="Calibri" w:hAnsi="Times New Roman" w:cs="Times New Roman"/>
          <w:sz w:val="24"/>
          <w:szCs w:val="24"/>
        </w:rPr>
      </w:pPr>
      <w:r w:rsidRPr="009A0103">
        <w:rPr>
          <w:rFonts w:ascii="Times New Roman" w:eastAsia="Calibri" w:hAnsi="Times New Roman" w:cs="Times New Roman"/>
          <w:sz w:val="24"/>
          <w:szCs w:val="24"/>
        </w:rPr>
        <w:t xml:space="preserve">Materiál nepredpokladá rôzne zaobchádzanie s podnikmi podľa ich veľkosti. </w:t>
      </w:r>
    </w:p>
    <w:p w14:paraId="695A435D" w14:textId="5AB71F76" w:rsidR="009A0103" w:rsidRPr="009A0103" w:rsidRDefault="009A0103" w:rsidP="00054C41">
      <w:pPr>
        <w:spacing w:after="0"/>
        <w:jc w:val="both"/>
        <w:rPr>
          <w:rFonts w:ascii="Times New Roman" w:eastAsia="Calibri" w:hAnsi="Times New Roman" w:cs="Times New Roman"/>
          <w:sz w:val="24"/>
          <w:szCs w:val="24"/>
        </w:rPr>
      </w:pPr>
      <w:r w:rsidRPr="009A0103">
        <w:rPr>
          <w:rFonts w:ascii="Times New Roman" w:eastAsia="Calibri" w:hAnsi="Times New Roman" w:cs="Times New Roman"/>
          <w:sz w:val="24"/>
          <w:szCs w:val="24"/>
        </w:rPr>
        <w:t>Zmena neovply</w:t>
      </w:r>
      <w:r w:rsidR="00705E99">
        <w:rPr>
          <w:rFonts w:ascii="Times New Roman" w:eastAsia="Calibri" w:hAnsi="Times New Roman" w:cs="Times New Roman"/>
          <w:sz w:val="24"/>
          <w:szCs w:val="24"/>
        </w:rPr>
        <w:t>v</w:t>
      </w:r>
      <w:r w:rsidRPr="009A0103">
        <w:rPr>
          <w:rFonts w:ascii="Times New Roman" w:eastAsia="Calibri" w:hAnsi="Times New Roman" w:cs="Times New Roman"/>
          <w:sz w:val="24"/>
          <w:szCs w:val="24"/>
        </w:rPr>
        <w:t xml:space="preserve">ňuje cezhraničné investície, hoci existuje možnosť, že </w:t>
      </w:r>
      <w:r w:rsidR="00E15680">
        <w:rPr>
          <w:rFonts w:ascii="Times New Roman" w:eastAsia="Calibri" w:hAnsi="Times New Roman" w:cs="Times New Roman"/>
          <w:sz w:val="24"/>
          <w:szCs w:val="24"/>
        </w:rPr>
        <w:t>zlepšenie právnej istoty spôsobí, že vstup subjektov</w:t>
      </w:r>
      <w:r w:rsidRPr="009A0103">
        <w:rPr>
          <w:rFonts w:ascii="Times New Roman" w:eastAsia="Calibri" w:hAnsi="Times New Roman" w:cs="Times New Roman"/>
          <w:sz w:val="24"/>
          <w:szCs w:val="24"/>
        </w:rPr>
        <w:t xml:space="preserve"> na slovenský trh</w:t>
      </w:r>
      <w:r w:rsidR="004B27EA">
        <w:rPr>
          <w:rFonts w:ascii="Times New Roman" w:eastAsia="Calibri" w:hAnsi="Times New Roman" w:cs="Times New Roman"/>
          <w:sz w:val="24"/>
          <w:szCs w:val="24"/>
        </w:rPr>
        <w:t xml:space="preserve"> bude atraktívnejší</w:t>
      </w:r>
      <w:r w:rsidRPr="009A0103">
        <w:rPr>
          <w:rFonts w:ascii="Times New Roman" w:eastAsia="Calibri" w:hAnsi="Times New Roman" w:cs="Times New Roman"/>
          <w:sz w:val="24"/>
          <w:szCs w:val="24"/>
        </w:rPr>
        <w:t xml:space="preserve">. </w:t>
      </w:r>
    </w:p>
    <w:p w14:paraId="7383B60B" w14:textId="00C53226" w:rsidR="009A0103" w:rsidRPr="009A0103" w:rsidRDefault="009A0103" w:rsidP="00054C41">
      <w:pPr>
        <w:spacing w:after="0"/>
        <w:jc w:val="both"/>
        <w:rPr>
          <w:rFonts w:ascii="Times New Roman" w:eastAsia="Calibri" w:hAnsi="Times New Roman" w:cs="Times New Roman"/>
          <w:sz w:val="24"/>
          <w:szCs w:val="24"/>
        </w:rPr>
      </w:pPr>
      <w:r w:rsidRPr="009A0103">
        <w:rPr>
          <w:rFonts w:ascii="Times New Roman" w:eastAsia="Calibri" w:hAnsi="Times New Roman" w:cs="Times New Roman"/>
          <w:sz w:val="24"/>
          <w:szCs w:val="24"/>
        </w:rPr>
        <w:t xml:space="preserve">Návrh neovplyvňuje dostupnosť základných zdrojov, inovácie, vedu ani výskum. </w:t>
      </w:r>
    </w:p>
    <w:p w14:paraId="4B0557BF" w14:textId="77777777" w:rsidR="004B27EA" w:rsidRDefault="004B27EA" w:rsidP="00054C41">
      <w:pPr>
        <w:spacing w:after="0"/>
        <w:jc w:val="both"/>
        <w:rPr>
          <w:rFonts w:ascii="Times New Roman" w:eastAsia="Calibri" w:hAnsi="Times New Roman" w:cs="Times New Roman"/>
          <w:sz w:val="24"/>
          <w:szCs w:val="24"/>
        </w:rPr>
      </w:pPr>
    </w:p>
    <w:p w14:paraId="0744BFC6" w14:textId="4082F5C9" w:rsidR="004B27EA" w:rsidRDefault="004B27EA" w:rsidP="00054C41">
      <w:pPr>
        <w:spacing w:after="0"/>
        <w:jc w:val="both"/>
        <w:rPr>
          <w:rFonts w:ascii="Times New Roman" w:eastAsia="Calibri" w:hAnsi="Times New Roman" w:cs="Times New Roman"/>
          <w:sz w:val="24"/>
          <w:szCs w:val="24"/>
        </w:rPr>
      </w:pPr>
      <w:r w:rsidRPr="004B27EA">
        <w:rPr>
          <w:rFonts w:ascii="Times New Roman" w:eastAsia="Calibri" w:hAnsi="Times New Roman" w:cs="Times New Roman"/>
          <w:sz w:val="24"/>
          <w:szCs w:val="24"/>
        </w:rPr>
        <w:t xml:space="preserve">Identifikovaný </w:t>
      </w:r>
      <w:proofErr w:type="spellStart"/>
      <w:r w:rsidRPr="004B27EA">
        <w:rPr>
          <w:rFonts w:ascii="Times New Roman" w:eastAsia="Calibri" w:hAnsi="Times New Roman" w:cs="Times New Roman"/>
          <w:sz w:val="24"/>
          <w:szCs w:val="24"/>
        </w:rPr>
        <w:t>goldplating</w:t>
      </w:r>
      <w:proofErr w:type="spellEnd"/>
      <w:r w:rsidRPr="004B27EA">
        <w:rPr>
          <w:rFonts w:ascii="Times New Roman" w:eastAsia="Calibri" w:hAnsi="Times New Roman" w:cs="Times New Roman"/>
          <w:sz w:val="24"/>
          <w:szCs w:val="24"/>
        </w:rPr>
        <w:t xml:space="preserve"> neprispieva k zníženiu konkurencieschopnosti a produktivity.</w:t>
      </w:r>
    </w:p>
    <w:p w14:paraId="282189F6" w14:textId="2AA5A31A" w:rsidR="009A0103" w:rsidRPr="009A0103" w:rsidRDefault="004B27EA" w:rsidP="00054C41">
      <w:pPr>
        <w:spacing w:after="0"/>
        <w:jc w:val="both"/>
        <w:rPr>
          <w:rFonts w:ascii="Times New Roman" w:eastAsia="Calibri" w:hAnsi="Times New Roman" w:cs="Times New Roman"/>
          <w:sz w:val="24"/>
          <w:szCs w:val="24"/>
        </w:rPr>
      </w:pPr>
      <w:r>
        <w:rPr>
          <w:rFonts w:ascii="Times New Roman" w:eastAsia="Calibri" w:hAnsi="Times New Roman" w:cs="Times New Roman"/>
          <w:sz w:val="24"/>
          <w:szCs w:val="24"/>
        </w:rPr>
        <w:t>Hoci zmena rozsiahlej úpravy a jej prispôsobenie modernej trhovej ekonomike smeruje aj k zlepšeniu podnikateľského prostredia, z</w:t>
      </w:r>
      <w:r w:rsidR="009A0103" w:rsidRPr="009A0103">
        <w:rPr>
          <w:rFonts w:ascii="Times New Roman" w:eastAsia="Calibri" w:hAnsi="Times New Roman" w:cs="Times New Roman"/>
          <w:sz w:val="24"/>
          <w:szCs w:val="24"/>
        </w:rPr>
        <w:t xml:space="preserve">mena regulácie neprispieva k cieľu mať najlepšie podnikateľské prostredie spomedzi krajín EÚ. </w:t>
      </w:r>
    </w:p>
    <w:p w14:paraId="327BF48A" w14:textId="5FBD9B99" w:rsidR="00054C41" w:rsidRPr="009A0103" w:rsidRDefault="00054C41" w:rsidP="00054C41">
      <w:pPr>
        <w:spacing w:after="0"/>
        <w:jc w:val="both"/>
        <w:rPr>
          <w:rFonts w:ascii="Times New Roman" w:eastAsia="Calibri" w:hAnsi="Times New Roman" w:cs="Times New Roman"/>
          <w:i/>
          <w:sz w:val="24"/>
          <w:szCs w:val="24"/>
        </w:rPr>
      </w:pPr>
    </w:p>
    <w:p w14:paraId="5861187D" w14:textId="77777777" w:rsidR="00054C41" w:rsidRPr="009A0103" w:rsidRDefault="00054C41" w:rsidP="00054C41">
      <w:pPr>
        <w:spacing w:after="0"/>
        <w:jc w:val="both"/>
        <w:rPr>
          <w:rFonts w:ascii="Times New Roman" w:eastAsia="Calibri" w:hAnsi="Times New Roman" w:cs="Times New Roman"/>
          <w:b/>
          <w:i/>
          <w:sz w:val="24"/>
          <w:szCs w:val="24"/>
        </w:rPr>
      </w:pPr>
      <w:r w:rsidRPr="009A0103">
        <w:rPr>
          <w:rFonts w:ascii="Times New Roman" w:eastAsia="Calibri" w:hAnsi="Times New Roman" w:cs="Times New Roman"/>
          <w:b/>
          <w:i/>
          <w:sz w:val="24"/>
          <w:szCs w:val="24"/>
        </w:rPr>
        <w:t>Produktivita:</w:t>
      </w:r>
    </w:p>
    <w:p w14:paraId="1FF562C2" w14:textId="77777777" w:rsidR="00054C41" w:rsidRPr="009A0103" w:rsidRDefault="00054C41" w:rsidP="00054C41">
      <w:pPr>
        <w:spacing w:after="0"/>
        <w:jc w:val="both"/>
        <w:rPr>
          <w:rFonts w:ascii="Times New Roman" w:eastAsia="Calibri" w:hAnsi="Times New Roman" w:cs="Times New Roman"/>
          <w:i/>
          <w:sz w:val="24"/>
          <w:szCs w:val="24"/>
        </w:rPr>
      </w:pPr>
      <w:r w:rsidRPr="009A0103">
        <w:rPr>
          <w:rFonts w:ascii="Times New Roman" w:eastAsia="Calibri" w:hAnsi="Times New Roman" w:cs="Times New Roman"/>
          <w:i/>
          <w:sz w:val="24"/>
          <w:szCs w:val="24"/>
        </w:rPr>
        <w:t xml:space="preserve">Aký má materiál vplyv na zmenu pomeru medzi produkciou podnikov a ich nákladmi? </w:t>
      </w:r>
    </w:p>
    <w:p w14:paraId="23DA5CCF" w14:textId="77777777" w:rsidR="00054C41" w:rsidRPr="009A0103" w:rsidRDefault="00054C41" w:rsidP="00054C41">
      <w:pPr>
        <w:spacing w:after="0"/>
        <w:jc w:val="both"/>
        <w:rPr>
          <w:rFonts w:ascii="Times New Roman" w:eastAsia="Calibri" w:hAnsi="Times New Roman" w:cs="Times New Roman"/>
          <w:i/>
          <w:sz w:val="24"/>
          <w:szCs w:val="24"/>
        </w:rPr>
      </w:pPr>
    </w:p>
    <w:p w14:paraId="0B272ABF" w14:textId="77777777" w:rsidR="00054C41" w:rsidRPr="009A0103" w:rsidRDefault="00054C41" w:rsidP="00054C41">
      <w:pPr>
        <w:spacing w:after="0"/>
        <w:jc w:val="both"/>
        <w:rPr>
          <w:rFonts w:ascii="Times New Roman" w:eastAsia="Calibri" w:hAnsi="Times New Roman" w:cs="Times New Roman"/>
          <w:i/>
          <w:sz w:val="24"/>
          <w:szCs w:val="24"/>
        </w:rPr>
      </w:pPr>
      <w:r w:rsidRPr="009A0103">
        <w:rPr>
          <w:rFonts w:ascii="Times New Roman" w:eastAsia="Calibri" w:hAnsi="Times New Roman" w:cs="Times New Roman"/>
          <w:i/>
          <w:sz w:val="24"/>
          <w:szCs w:val="24"/>
        </w:rPr>
        <w:t>Na základe uvedenej odpovede zaškrtnite a popíšte, či materiál produktivitu:</w:t>
      </w:r>
    </w:p>
    <w:p w14:paraId="789FA80A" w14:textId="1778802B" w:rsidR="00054C41" w:rsidRPr="009A0103" w:rsidRDefault="00FF7A63" w:rsidP="00054C41">
      <w:pPr>
        <w:spacing w:after="0"/>
        <w:jc w:val="both"/>
        <w:rPr>
          <w:rFonts w:ascii="Times New Roman" w:eastAsia="Calibri" w:hAnsi="Times New Roman" w:cs="Times New Roman"/>
          <w:i/>
          <w:sz w:val="24"/>
          <w:szCs w:val="24"/>
        </w:rPr>
      </w:pPr>
      <w:sdt>
        <w:sdtPr>
          <w:rPr>
            <w:rFonts w:ascii="Times New Roman" w:eastAsia="Calibri" w:hAnsi="Times New Roman" w:cs="Times New Roman"/>
            <w:i/>
            <w:sz w:val="24"/>
            <w:szCs w:val="24"/>
          </w:rPr>
          <w:id w:val="266199554"/>
        </w:sdtPr>
        <w:sdtEndPr/>
        <w:sdtContent>
          <w:sdt>
            <w:sdtPr>
              <w:rPr>
                <w:rFonts w:ascii="Times New Roman" w:eastAsia="Calibri" w:hAnsi="Times New Roman" w:cs="Times New Roman"/>
                <w:i/>
                <w:sz w:val="24"/>
                <w:szCs w:val="24"/>
              </w:rPr>
              <w:id w:val="-756667193"/>
            </w:sdtPr>
            <w:sdtEndPr/>
            <w:sdtContent>
              <w:r w:rsidR="00497B4D" w:rsidRPr="009A0103">
                <w:rPr>
                  <w:rFonts w:ascii="Segoe UI Symbol" w:eastAsia="Calibri" w:hAnsi="Segoe UI Symbol" w:cs="Segoe UI Symbol"/>
                  <w:i/>
                  <w:sz w:val="24"/>
                  <w:szCs w:val="24"/>
                </w:rPr>
                <w:t>☐</w:t>
              </w:r>
            </w:sdtContent>
          </w:sdt>
        </w:sdtContent>
      </w:sdt>
      <w:r w:rsidR="00497B4D" w:rsidRPr="009A0103">
        <w:rPr>
          <w:rFonts w:ascii="Times New Roman" w:eastAsia="Calibri" w:hAnsi="Times New Roman" w:cs="Times New Roman"/>
          <w:i/>
          <w:sz w:val="24"/>
          <w:szCs w:val="24"/>
        </w:rPr>
        <w:t xml:space="preserve"> </w:t>
      </w:r>
      <w:r w:rsidR="00054C41" w:rsidRPr="009A0103">
        <w:rPr>
          <w:rFonts w:ascii="Times New Roman" w:eastAsia="Calibri" w:hAnsi="Times New Roman" w:cs="Times New Roman"/>
          <w:i/>
          <w:sz w:val="24"/>
          <w:szCs w:val="24"/>
        </w:rPr>
        <w:t xml:space="preserve">zvyšuje  </w:t>
      </w:r>
      <w:r w:rsidR="00054C41" w:rsidRPr="009A0103">
        <w:rPr>
          <w:rFonts w:ascii="Times New Roman" w:eastAsia="Calibri" w:hAnsi="Times New Roman" w:cs="Times New Roman"/>
          <w:i/>
          <w:sz w:val="24"/>
          <w:szCs w:val="24"/>
        </w:rPr>
        <w:tab/>
      </w:r>
      <w:sdt>
        <w:sdtPr>
          <w:rPr>
            <w:rFonts w:ascii="Times New Roman" w:eastAsia="Calibri" w:hAnsi="Times New Roman" w:cs="Times New Roman"/>
            <w:i/>
            <w:sz w:val="24"/>
            <w:szCs w:val="24"/>
          </w:rPr>
          <w:id w:val="-353966921"/>
        </w:sdtPr>
        <w:sdtEndPr/>
        <w:sdtContent>
          <w:sdt>
            <w:sdtPr>
              <w:rPr>
                <w:rFonts w:ascii="Times New Roman" w:eastAsia="Calibri" w:hAnsi="Times New Roman" w:cs="Times New Roman"/>
                <w:i/>
                <w:sz w:val="24"/>
                <w:szCs w:val="24"/>
              </w:rPr>
              <w:id w:val="-1222205104"/>
            </w:sdtPr>
            <w:sdtEndPr/>
            <w:sdtContent>
              <w:sdt>
                <w:sdtPr>
                  <w:rPr>
                    <w:rFonts w:ascii="Times New Roman" w:eastAsia="Calibri" w:hAnsi="Times New Roman" w:cs="Times New Roman"/>
                    <w:i/>
                    <w:sz w:val="24"/>
                    <w:szCs w:val="24"/>
                  </w:rPr>
                  <w:id w:val="1892919452"/>
                </w:sdtPr>
                <w:sdtEndPr/>
                <w:sdtContent>
                  <w:sdt>
                    <w:sdtPr>
                      <w:rPr>
                        <w:rFonts w:ascii="Times New Roman" w:eastAsia="Calibri" w:hAnsi="Times New Roman" w:cs="Times New Roman"/>
                        <w:i/>
                        <w:sz w:val="24"/>
                        <w:szCs w:val="24"/>
                      </w:rPr>
                      <w:id w:val="737216625"/>
                    </w:sdtPr>
                    <w:sdtEndPr/>
                    <w:sdtContent>
                      <w:sdt>
                        <w:sdtPr>
                          <w:rPr>
                            <w:rFonts w:ascii="Times New Roman" w:eastAsia="Calibri" w:hAnsi="Times New Roman" w:cs="Times New Roman"/>
                            <w:i/>
                            <w:sz w:val="24"/>
                            <w:szCs w:val="24"/>
                          </w:rPr>
                          <w:id w:val="249012944"/>
                        </w:sdtPr>
                        <w:sdtEndPr/>
                        <w:sdtContent>
                          <w:sdt>
                            <w:sdtPr>
                              <w:rPr>
                                <w:rFonts w:ascii="Times New Roman" w:eastAsia="Calibri" w:hAnsi="Times New Roman" w:cs="Times New Roman"/>
                                <w:i/>
                                <w:sz w:val="24"/>
                                <w:szCs w:val="24"/>
                              </w:rPr>
                              <w:id w:val="9108421"/>
                            </w:sdtPr>
                            <w:sdtEndPr/>
                            <w:sdtContent>
                              <w:r w:rsidR="00497B4D" w:rsidRPr="009A0103">
                                <w:rPr>
                                  <w:rFonts w:ascii="Cambria Math" w:eastAsia="Calibri" w:hAnsi="Cambria Math" w:cs="Cambria Math"/>
                                  <w:i/>
                                  <w:sz w:val="24"/>
                                  <w:szCs w:val="24"/>
                                </w:rPr>
                                <w:t>⌧</w:t>
                              </w:r>
                            </w:sdtContent>
                          </w:sdt>
                        </w:sdtContent>
                      </w:sdt>
                    </w:sdtContent>
                  </w:sdt>
                </w:sdtContent>
              </w:sdt>
            </w:sdtContent>
          </w:sdt>
        </w:sdtContent>
      </w:sdt>
      <w:r w:rsidR="00054C41" w:rsidRPr="009A0103">
        <w:rPr>
          <w:rFonts w:ascii="Times New Roman" w:eastAsia="Calibri" w:hAnsi="Times New Roman" w:cs="Times New Roman"/>
          <w:i/>
          <w:sz w:val="24"/>
          <w:szCs w:val="24"/>
        </w:rPr>
        <w:t xml:space="preserve"> nemení</w:t>
      </w:r>
      <w:r w:rsidR="00054C41" w:rsidRPr="009A0103">
        <w:rPr>
          <w:rFonts w:ascii="Times New Roman" w:eastAsia="Calibri" w:hAnsi="Times New Roman" w:cs="Times New Roman"/>
          <w:i/>
          <w:sz w:val="24"/>
          <w:szCs w:val="24"/>
        </w:rPr>
        <w:tab/>
      </w:r>
      <w:sdt>
        <w:sdtPr>
          <w:rPr>
            <w:rFonts w:ascii="Times New Roman" w:eastAsia="Calibri" w:hAnsi="Times New Roman" w:cs="Times New Roman"/>
            <w:i/>
            <w:sz w:val="24"/>
            <w:szCs w:val="24"/>
          </w:rPr>
          <w:id w:val="-1457723544"/>
        </w:sdtPr>
        <w:sdtEndPr/>
        <w:sdtContent>
          <w:sdt>
            <w:sdtPr>
              <w:rPr>
                <w:rFonts w:ascii="Times New Roman" w:eastAsia="Calibri" w:hAnsi="Times New Roman" w:cs="Times New Roman"/>
                <w:i/>
                <w:sz w:val="24"/>
                <w:szCs w:val="24"/>
              </w:rPr>
              <w:id w:val="-623767955"/>
            </w:sdtPr>
            <w:sdtEndPr/>
            <w:sdtContent>
              <w:r w:rsidR="00054C41" w:rsidRPr="009A0103">
                <w:rPr>
                  <w:rFonts w:ascii="Segoe UI Symbol" w:eastAsia="Calibri" w:hAnsi="Segoe UI Symbol" w:cs="Segoe UI Symbol"/>
                  <w:i/>
                  <w:sz w:val="24"/>
                  <w:szCs w:val="24"/>
                </w:rPr>
                <w:t>☐</w:t>
              </w:r>
            </w:sdtContent>
          </w:sdt>
        </w:sdtContent>
      </w:sdt>
      <w:r w:rsidR="00054C41" w:rsidRPr="009A0103">
        <w:rPr>
          <w:rFonts w:ascii="Times New Roman" w:eastAsia="Calibri" w:hAnsi="Times New Roman" w:cs="Times New Roman"/>
          <w:i/>
          <w:sz w:val="24"/>
          <w:szCs w:val="24"/>
        </w:rPr>
        <w:t xml:space="preserve"> znižuje</w:t>
      </w:r>
    </w:p>
    <w:p w14:paraId="39D8B6F2" w14:textId="17C7ACBB" w:rsidR="004553A1" w:rsidRPr="00D3068D" w:rsidRDefault="004553A1" w:rsidP="00054C41">
      <w:pPr>
        <w:spacing w:after="0"/>
        <w:jc w:val="both"/>
        <w:rPr>
          <w:rFonts w:ascii="Times New Roman" w:eastAsia="Calibri" w:hAnsi="Times New Roman" w:cs="Times New Roman"/>
          <w:i/>
          <w:sz w:val="24"/>
          <w:szCs w:val="24"/>
          <w:highlight w:val="yellow"/>
        </w:rPr>
      </w:pPr>
    </w:p>
    <w:p w14:paraId="1FFE92DA" w14:textId="3A40D877" w:rsidR="00054C41" w:rsidRDefault="00054C41" w:rsidP="00054C41">
      <w:pPr>
        <w:spacing w:after="0"/>
        <w:jc w:val="both"/>
        <w:rPr>
          <w:rFonts w:ascii="Times New Roman" w:eastAsia="Calibri" w:hAnsi="Times New Roman" w:cs="Times New Roman"/>
          <w:i/>
          <w:sz w:val="24"/>
          <w:szCs w:val="24"/>
        </w:rPr>
      </w:pPr>
    </w:p>
    <w:p w14:paraId="64BD31DB" w14:textId="77777777" w:rsidR="0078666B" w:rsidRPr="00B24EFE" w:rsidRDefault="0078666B" w:rsidP="00054C41">
      <w:pPr>
        <w:spacing w:after="0"/>
        <w:jc w:val="both"/>
        <w:rPr>
          <w:rFonts w:ascii="Times New Roman" w:eastAsia="Calibri" w:hAnsi="Times New Roman" w:cs="Times New Roman"/>
          <w:i/>
          <w:sz w:val="24"/>
          <w:szCs w:val="24"/>
        </w:rPr>
      </w:pPr>
    </w:p>
    <w:p w14:paraId="0F05F45F" w14:textId="77777777" w:rsidR="00054C41" w:rsidRPr="00B24EFE" w:rsidRDefault="00054C41" w:rsidP="00054C41">
      <w:pPr>
        <w:jc w:val="both"/>
        <w:rPr>
          <w:rFonts w:ascii="Times New Roman" w:eastAsia="Calibri" w:hAnsi="Times New Roman" w:cs="Times New Roman"/>
          <w:b/>
          <w:sz w:val="24"/>
          <w:szCs w:val="24"/>
        </w:rPr>
      </w:pPr>
      <w:r w:rsidRPr="00B24EFE">
        <w:rPr>
          <w:rFonts w:ascii="Times New Roman" w:eastAsia="Calibri" w:hAnsi="Times New Roman" w:cs="Times New Roman"/>
          <w:b/>
          <w:sz w:val="24"/>
          <w:szCs w:val="24"/>
        </w:rPr>
        <w:lastRenderedPageBreak/>
        <w:t xml:space="preserve">3.4  Iné vplyvy na podnikateľské prostredie </w:t>
      </w:r>
    </w:p>
    <w:p w14:paraId="727C9A0E" w14:textId="77777777" w:rsidR="00FF414B" w:rsidRPr="00B24EFE" w:rsidRDefault="00FF414B" w:rsidP="00FF414B">
      <w:pPr>
        <w:spacing w:after="0"/>
        <w:jc w:val="both"/>
        <w:rPr>
          <w:rFonts w:ascii="Times New Roman" w:eastAsia="Calibri" w:hAnsi="Times New Roman" w:cs="Times New Roman"/>
          <w:i/>
          <w:sz w:val="24"/>
          <w:szCs w:val="24"/>
        </w:rPr>
      </w:pPr>
      <w:r w:rsidRPr="00B24EFE">
        <w:rPr>
          <w:rFonts w:ascii="Times New Roman" w:eastAsia="Calibri" w:hAnsi="Times New Roman" w:cs="Times New Roman"/>
          <w:i/>
          <w:sz w:val="24"/>
          <w:szCs w:val="24"/>
        </w:rPr>
        <w:t xml:space="preserve">Ak má materiál vplyvy na PP, ktoré nemožno zaradiť do predchádzajúcich častí, či už pozitívne alebo negatívne, tu ich uveďte.  Patria sem: </w:t>
      </w:r>
    </w:p>
    <w:p w14:paraId="312EF81C" w14:textId="77777777" w:rsidR="00FF414B" w:rsidRPr="00B24EFE" w:rsidRDefault="00FF414B" w:rsidP="00FF414B">
      <w:pPr>
        <w:pStyle w:val="Odsekzoznamu"/>
        <w:numPr>
          <w:ilvl w:val="0"/>
          <w:numId w:val="6"/>
        </w:numPr>
        <w:spacing w:after="0" w:line="254" w:lineRule="auto"/>
        <w:jc w:val="both"/>
        <w:rPr>
          <w:rFonts w:ascii="Times New Roman" w:eastAsia="Calibri" w:hAnsi="Times New Roman" w:cs="Times New Roman"/>
          <w:i/>
          <w:sz w:val="24"/>
          <w:szCs w:val="24"/>
        </w:rPr>
      </w:pPr>
      <w:r w:rsidRPr="00B24EFE">
        <w:rPr>
          <w:rFonts w:ascii="Times New Roman" w:eastAsia="Calibri" w:hAnsi="Times New Roman" w:cs="Times New Roman"/>
          <w:i/>
          <w:sz w:val="24"/>
          <w:szCs w:val="24"/>
        </w:rPr>
        <w:t>vplyvy súvisiace so žiadosťami o alebo prijímaním dotácií, fondov, štátnej pomoci a čerpaním iných obdobných foriem podpory zo strany štátu, keďže sú sprievodným javom uchádzania sa či získania benefitov, na ktoré nie je právny nárok priamo zo zákona, ale vzniká na základe prejavu vôle dotknutého subjektu;</w:t>
      </w:r>
    </w:p>
    <w:p w14:paraId="71F108BC" w14:textId="77777777" w:rsidR="00FF414B" w:rsidRPr="00B24EFE" w:rsidRDefault="00FF414B" w:rsidP="00FF414B">
      <w:pPr>
        <w:pStyle w:val="Odsekzoznamu"/>
        <w:numPr>
          <w:ilvl w:val="0"/>
          <w:numId w:val="6"/>
        </w:numPr>
        <w:spacing w:after="0" w:line="254" w:lineRule="auto"/>
        <w:jc w:val="both"/>
        <w:rPr>
          <w:rFonts w:ascii="Times New Roman" w:eastAsia="Calibri" w:hAnsi="Times New Roman" w:cs="Times New Roman"/>
          <w:i/>
          <w:sz w:val="24"/>
          <w:szCs w:val="24"/>
        </w:rPr>
      </w:pPr>
      <w:r w:rsidRPr="00B24EFE">
        <w:rPr>
          <w:rFonts w:ascii="Times New Roman" w:eastAsia="Calibri" w:hAnsi="Times New Roman" w:cs="Times New Roman"/>
          <w:i/>
          <w:sz w:val="24"/>
          <w:szCs w:val="24"/>
        </w:rPr>
        <w:t>regulované ceny podľa zákona č. 18/1996 Z. z. o cenách;</w:t>
      </w:r>
    </w:p>
    <w:p w14:paraId="46E907D6" w14:textId="77777777" w:rsidR="00FF414B" w:rsidRPr="00B24EFE" w:rsidRDefault="00FF414B" w:rsidP="00FF414B">
      <w:pPr>
        <w:pStyle w:val="Odsekzoznamu"/>
        <w:numPr>
          <w:ilvl w:val="0"/>
          <w:numId w:val="6"/>
        </w:numPr>
        <w:spacing w:after="0" w:line="254" w:lineRule="auto"/>
        <w:jc w:val="both"/>
        <w:rPr>
          <w:rFonts w:ascii="Times New Roman" w:eastAsia="Calibri" w:hAnsi="Times New Roman" w:cs="Times New Roman"/>
          <w:i/>
          <w:sz w:val="24"/>
          <w:szCs w:val="24"/>
        </w:rPr>
      </w:pPr>
      <w:r w:rsidRPr="00B24EFE">
        <w:rPr>
          <w:rFonts w:ascii="Times New Roman" w:eastAsia="Calibri" w:hAnsi="Times New Roman" w:cs="Times New Roman"/>
          <w:i/>
          <w:sz w:val="24"/>
          <w:szCs w:val="24"/>
        </w:rPr>
        <w:t>iné vplyvy, ktoré predpokladá materiál, ale nemožno ich zaradiť do častí 3.1 a 3.3.</w:t>
      </w:r>
      <w:r w:rsidR="00E214C0" w:rsidRPr="00B24EFE">
        <w:rPr>
          <w:rFonts w:ascii="Times New Roman" w:eastAsia="Calibri" w:hAnsi="Times New Roman" w:cs="Times New Roman"/>
          <w:i/>
          <w:sz w:val="24"/>
          <w:szCs w:val="24"/>
        </w:rPr>
        <w:t>,</w:t>
      </w:r>
    </w:p>
    <w:p w14:paraId="0AF01D43" w14:textId="79B13033" w:rsidR="008C7800" w:rsidRDefault="00D114ED" w:rsidP="00377568">
      <w:pPr>
        <w:pStyle w:val="Odsekzoznamu"/>
        <w:numPr>
          <w:ilvl w:val="0"/>
          <w:numId w:val="6"/>
        </w:numPr>
        <w:spacing w:after="0" w:line="254" w:lineRule="auto"/>
        <w:jc w:val="both"/>
        <w:rPr>
          <w:rFonts w:ascii="Times New Roman" w:eastAsia="Calibri" w:hAnsi="Times New Roman" w:cs="Times New Roman"/>
          <w:i/>
          <w:sz w:val="24"/>
          <w:szCs w:val="24"/>
        </w:rPr>
      </w:pPr>
      <w:r w:rsidRPr="00965F03">
        <w:rPr>
          <w:rFonts w:ascii="Times New Roman" w:eastAsia="Calibri" w:hAnsi="Times New Roman" w:cs="Times New Roman"/>
          <w:i/>
          <w:sz w:val="24"/>
          <w:szCs w:val="24"/>
        </w:rPr>
        <w:t xml:space="preserve">iné vplyvy podľa písm. a) až c), ktoré sú </w:t>
      </w:r>
      <w:proofErr w:type="spellStart"/>
      <w:r w:rsidRPr="00965F03">
        <w:rPr>
          <w:rFonts w:ascii="Times New Roman" w:eastAsia="Calibri" w:hAnsi="Times New Roman" w:cs="Times New Roman"/>
          <w:i/>
          <w:sz w:val="24"/>
          <w:szCs w:val="24"/>
        </w:rPr>
        <w:t>goldplatingom</w:t>
      </w:r>
      <w:proofErr w:type="spellEnd"/>
      <w:r w:rsidRPr="00965F03">
        <w:rPr>
          <w:rFonts w:ascii="Times New Roman" w:eastAsia="Calibri" w:hAnsi="Times New Roman" w:cs="Times New Roman"/>
          <w:i/>
          <w:sz w:val="24"/>
          <w:szCs w:val="24"/>
        </w:rPr>
        <w:t>.</w:t>
      </w:r>
    </w:p>
    <w:p w14:paraId="1D930526" w14:textId="22DAD93F" w:rsidR="004B0EB5" w:rsidRDefault="004B0EB5" w:rsidP="004B0EB5">
      <w:pPr>
        <w:spacing w:after="0" w:line="254" w:lineRule="auto"/>
        <w:jc w:val="both"/>
        <w:rPr>
          <w:rFonts w:ascii="Times New Roman" w:eastAsia="Calibri" w:hAnsi="Times New Roman" w:cs="Times New Roman"/>
          <w:i/>
          <w:sz w:val="24"/>
          <w:szCs w:val="24"/>
        </w:rPr>
      </w:pPr>
    </w:p>
    <w:p w14:paraId="3A1E0564" w14:textId="2B5B191C" w:rsidR="0020065D" w:rsidRDefault="00245502" w:rsidP="0020065D">
      <w:pPr>
        <w:spacing w:after="0" w:line="254" w:lineRule="auto"/>
        <w:jc w:val="both"/>
        <w:rPr>
          <w:rFonts w:ascii="Times New Roman" w:eastAsia="Calibri" w:hAnsi="Times New Roman" w:cs="Times New Roman"/>
          <w:b/>
          <w:sz w:val="24"/>
          <w:szCs w:val="24"/>
        </w:rPr>
      </w:pPr>
      <w:r>
        <w:rPr>
          <w:rFonts w:ascii="Times New Roman" w:eastAsia="Calibri" w:hAnsi="Times New Roman" w:cs="Times New Roman"/>
          <w:b/>
          <w:sz w:val="24"/>
          <w:szCs w:val="24"/>
        </w:rPr>
        <w:t>1</w:t>
      </w:r>
      <w:r w:rsidR="00DA7A6D" w:rsidRPr="00DA7A6D">
        <w:rPr>
          <w:rFonts w:ascii="Times New Roman" w:eastAsia="Calibri" w:hAnsi="Times New Roman" w:cs="Times New Roman"/>
          <w:b/>
          <w:sz w:val="24"/>
          <w:szCs w:val="24"/>
        </w:rPr>
        <w:t xml:space="preserve">. </w:t>
      </w:r>
      <w:r w:rsidR="0020065D" w:rsidRPr="00DA7A6D">
        <w:rPr>
          <w:rFonts w:ascii="Times New Roman" w:eastAsia="Calibri" w:hAnsi="Times New Roman" w:cs="Times New Roman"/>
          <w:b/>
          <w:sz w:val="24"/>
          <w:szCs w:val="24"/>
        </w:rPr>
        <w:t xml:space="preserve">Dôraz na </w:t>
      </w:r>
      <w:r w:rsidR="00DA7A6D" w:rsidRPr="00DA7A6D">
        <w:rPr>
          <w:rFonts w:ascii="Times New Roman" w:eastAsia="Calibri" w:hAnsi="Times New Roman" w:cs="Times New Roman"/>
          <w:b/>
          <w:sz w:val="24"/>
          <w:szCs w:val="24"/>
        </w:rPr>
        <w:t xml:space="preserve">zmluvnú slobodu </w:t>
      </w:r>
      <w:r w:rsidR="00DA7A6D">
        <w:rPr>
          <w:rFonts w:ascii="Times New Roman" w:eastAsia="Calibri" w:hAnsi="Times New Roman" w:cs="Times New Roman"/>
          <w:b/>
          <w:sz w:val="24"/>
          <w:szCs w:val="24"/>
        </w:rPr>
        <w:t>– princíp autonómie vôle</w:t>
      </w:r>
    </w:p>
    <w:p w14:paraId="61210892" w14:textId="14625C76" w:rsidR="00DA7A6D" w:rsidRDefault="00DA7A6D" w:rsidP="0020065D">
      <w:pPr>
        <w:spacing w:after="0" w:line="254" w:lineRule="auto"/>
        <w:jc w:val="both"/>
        <w:rPr>
          <w:rFonts w:ascii="Times New Roman" w:eastAsia="Calibri" w:hAnsi="Times New Roman" w:cs="Times New Roman"/>
          <w:b/>
          <w:sz w:val="24"/>
          <w:szCs w:val="24"/>
        </w:rPr>
      </w:pPr>
    </w:p>
    <w:p w14:paraId="7503C196" w14:textId="21BB26EF" w:rsidR="00DA7A6D" w:rsidRDefault="0078666B" w:rsidP="00DA7A6D">
      <w:pPr>
        <w:spacing w:after="0" w:line="254" w:lineRule="auto"/>
        <w:jc w:val="both"/>
        <w:rPr>
          <w:rFonts w:ascii="Times New Roman" w:eastAsia="Calibri" w:hAnsi="Times New Roman" w:cs="Times New Roman"/>
          <w:b/>
          <w:sz w:val="24"/>
          <w:szCs w:val="24"/>
        </w:rPr>
      </w:pPr>
      <w:r>
        <w:rPr>
          <w:rFonts w:ascii="Times New Roman" w:eastAsia="Calibri" w:hAnsi="Times New Roman" w:cs="Times New Roman"/>
          <w:sz w:val="24"/>
          <w:szCs w:val="24"/>
        </w:rPr>
        <w:t>Návrh O</w:t>
      </w:r>
      <w:bookmarkStart w:id="1" w:name="_GoBack"/>
      <w:bookmarkEnd w:id="1"/>
      <w:r w:rsidR="00DA7A6D">
        <w:rPr>
          <w:rFonts w:ascii="Times New Roman" w:eastAsia="Calibri" w:hAnsi="Times New Roman" w:cs="Times New Roman"/>
          <w:sz w:val="24"/>
          <w:szCs w:val="24"/>
        </w:rPr>
        <w:t>bčianskeho zákonníka kladie dôraz na autonómiu vôle zmluvnýc</w:t>
      </w:r>
      <w:r w:rsidR="00DA7A6D" w:rsidRPr="00DA7A6D">
        <w:rPr>
          <w:rFonts w:ascii="Times New Roman" w:eastAsia="Calibri" w:hAnsi="Times New Roman" w:cs="Times New Roman"/>
          <w:sz w:val="24"/>
          <w:szCs w:val="24"/>
        </w:rPr>
        <w:t>h strán, kedy si každý môže podľa vlastnej vôle usporiadať svoje súkromné záležitosti, ak to zákon nezakazuje a ak pri tom neprimerane nezasiahne do práv a dôstojnosti iných.</w:t>
      </w:r>
      <w:r w:rsidR="00DA7A6D" w:rsidRPr="00DA7A6D">
        <w:rPr>
          <w:rFonts w:ascii="Times New Roman" w:eastAsia="Calibri" w:hAnsi="Times New Roman" w:cs="Times New Roman"/>
          <w:b/>
          <w:sz w:val="24"/>
          <w:szCs w:val="24"/>
        </w:rPr>
        <w:t xml:space="preserve">  </w:t>
      </w:r>
    </w:p>
    <w:p w14:paraId="6039E04D" w14:textId="22C7DE2C" w:rsidR="00DA7A6D" w:rsidRDefault="00DA7A6D" w:rsidP="00DA7A6D">
      <w:pPr>
        <w:spacing w:after="0" w:line="254" w:lineRule="auto"/>
        <w:jc w:val="both"/>
        <w:rPr>
          <w:rFonts w:ascii="Times New Roman" w:eastAsia="Calibri" w:hAnsi="Times New Roman" w:cs="Times New Roman"/>
          <w:sz w:val="24"/>
          <w:szCs w:val="24"/>
        </w:rPr>
      </w:pPr>
    </w:p>
    <w:p w14:paraId="68A2FDAC" w14:textId="40732371" w:rsidR="00DA7A6D" w:rsidRPr="00DA7A6D" w:rsidRDefault="00DA7A6D" w:rsidP="00DA7A6D">
      <w:pPr>
        <w:spacing w:after="0" w:line="254"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Široké vnímanie autonómie vôle </w:t>
      </w:r>
      <w:r w:rsidR="008D0ABB">
        <w:rPr>
          <w:rFonts w:ascii="Times New Roman" w:eastAsia="Calibri" w:hAnsi="Times New Roman" w:cs="Times New Roman"/>
          <w:sz w:val="24"/>
          <w:szCs w:val="24"/>
        </w:rPr>
        <w:t>jednoznačne vyústi</w:t>
      </w:r>
      <w:r>
        <w:rPr>
          <w:rFonts w:ascii="Times New Roman" w:eastAsia="Calibri" w:hAnsi="Times New Roman" w:cs="Times New Roman"/>
          <w:sz w:val="24"/>
          <w:szCs w:val="24"/>
        </w:rPr>
        <w:t xml:space="preserve"> v pozitívny vplyv aj na podnikateľské prostredie, kedy podnikatelia budú môcť svoje vzájomné vzťahy upravovať podľa svojich potrieb v súlade s ich sledovanými cieľmi. </w:t>
      </w:r>
    </w:p>
    <w:p w14:paraId="1E393045" w14:textId="30968B5B" w:rsidR="00DA7A6D" w:rsidRDefault="00DA7A6D" w:rsidP="00DA7A6D">
      <w:pPr>
        <w:spacing w:after="0" w:line="254" w:lineRule="auto"/>
        <w:jc w:val="both"/>
        <w:rPr>
          <w:rFonts w:ascii="Times New Roman" w:eastAsia="Calibri" w:hAnsi="Times New Roman" w:cs="Times New Roman"/>
          <w:sz w:val="24"/>
          <w:szCs w:val="24"/>
        </w:rPr>
      </w:pPr>
    </w:p>
    <w:p w14:paraId="1A6CEA71" w14:textId="4EBBC9C9" w:rsidR="00DA7A6D" w:rsidRDefault="00DA7A6D" w:rsidP="00DA7A6D">
      <w:pPr>
        <w:spacing w:after="0" w:line="254"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Princíp autonómie vôle sa prejavuje do inštitútov, ktoré budú mať pozitívny vplyv na podnikateľské prostredie: </w:t>
      </w:r>
    </w:p>
    <w:p w14:paraId="1538FB64" w14:textId="748F76BE" w:rsidR="00DA7A6D" w:rsidRDefault="00DA7A6D" w:rsidP="00DA7A6D">
      <w:pPr>
        <w:pStyle w:val="Odsekzoznamu"/>
        <w:numPr>
          <w:ilvl w:val="0"/>
          <w:numId w:val="17"/>
        </w:numPr>
        <w:spacing w:after="0" w:line="254"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dohoda o premlčacej dobe - str</w:t>
      </w:r>
      <w:r w:rsidRPr="00DA7A6D">
        <w:rPr>
          <w:rFonts w:ascii="Times New Roman" w:eastAsia="Calibri" w:hAnsi="Times New Roman" w:cs="Times New Roman"/>
          <w:sz w:val="24"/>
          <w:szCs w:val="24"/>
        </w:rPr>
        <w:t xml:space="preserve">any si môžu písomne dohodnúť kratšiu alebo dlhšiu premlčaciu lehotu než ustanovuje </w:t>
      </w:r>
      <w:r>
        <w:rPr>
          <w:rFonts w:ascii="Times New Roman" w:eastAsia="Calibri" w:hAnsi="Times New Roman" w:cs="Times New Roman"/>
          <w:sz w:val="24"/>
          <w:szCs w:val="24"/>
        </w:rPr>
        <w:t>návrh občianskeho zákonníka</w:t>
      </w:r>
      <w:r w:rsidRPr="00DA7A6D">
        <w:rPr>
          <w:rFonts w:ascii="Times New Roman" w:eastAsia="Calibri" w:hAnsi="Times New Roman" w:cs="Times New Roman"/>
          <w:sz w:val="24"/>
          <w:szCs w:val="24"/>
        </w:rPr>
        <w:t>; najmenej však jeden rok a najviac desať rokov</w:t>
      </w:r>
      <w:r>
        <w:rPr>
          <w:rFonts w:ascii="Times New Roman" w:eastAsia="Calibri" w:hAnsi="Times New Roman" w:cs="Times New Roman"/>
          <w:sz w:val="24"/>
          <w:szCs w:val="24"/>
        </w:rPr>
        <w:t xml:space="preserve"> – oproti aktuálne účinnej právnej úprave, ktorá je v otázke určenia premlčacej doby rigidná, si budú môcť podnikatelia upraviť premlčaciu lehotu tak, ako im to v ich vzťahu vyhovuje</w:t>
      </w:r>
      <w:r w:rsidR="00255397">
        <w:rPr>
          <w:rFonts w:ascii="Times New Roman" w:eastAsia="Calibri" w:hAnsi="Times New Roman" w:cs="Times New Roman"/>
          <w:sz w:val="24"/>
          <w:szCs w:val="24"/>
        </w:rPr>
        <w:t>,</w:t>
      </w:r>
    </w:p>
    <w:p w14:paraId="33E8CB6C" w14:textId="6C27CF7A" w:rsidR="00DA7A6D" w:rsidRDefault="00325DA2" w:rsidP="00DA7A6D">
      <w:pPr>
        <w:pStyle w:val="Odsekzoznamu"/>
        <w:numPr>
          <w:ilvl w:val="0"/>
          <w:numId w:val="17"/>
        </w:numPr>
        <w:spacing w:after="0" w:line="254"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prevod zmluvy </w:t>
      </w:r>
      <w:r w:rsidR="00DA7A6D">
        <w:rPr>
          <w:rFonts w:ascii="Times New Roman" w:eastAsia="Calibri" w:hAnsi="Times New Roman" w:cs="Times New Roman"/>
          <w:sz w:val="24"/>
          <w:szCs w:val="24"/>
        </w:rPr>
        <w:t>- z</w:t>
      </w:r>
      <w:r w:rsidR="00DA7A6D" w:rsidRPr="00DA7A6D">
        <w:rPr>
          <w:rFonts w:ascii="Times New Roman" w:eastAsia="Calibri" w:hAnsi="Times New Roman" w:cs="Times New Roman"/>
          <w:sz w:val="24"/>
          <w:szCs w:val="24"/>
        </w:rPr>
        <w:t>mluvná strana môže svoje práva a povinnosti zo zmluvy previesť na iného (prevod zmluvy), ak s tým druhá zmluvná strana súhlasí</w:t>
      </w:r>
      <w:r w:rsidR="007A4A3E">
        <w:rPr>
          <w:rFonts w:ascii="Times New Roman" w:eastAsia="Calibri" w:hAnsi="Times New Roman" w:cs="Times New Roman"/>
          <w:sz w:val="24"/>
          <w:szCs w:val="24"/>
        </w:rPr>
        <w:t xml:space="preserve"> – v podnikateľských vzťahoch sa tak predpokladá jednoduchší prevod zmluvy, ktorý v aktuálne účinnej právnej úprave chýba a zabezpečí flexibilitu v plnení práv a povinností zo zmluvy</w:t>
      </w:r>
      <w:r w:rsidR="00255397">
        <w:rPr>
          <w:rFonts w:ascii="Times New Roman" w:eastAsia="Calibri" w:hAnsi="Times New Roman" w:cs="Times New Roman"/>
          <w:sz w:val="24"/>
          <w:szCs w:val="24"/>
        </w:rPr>
        <w:t>.</w:t>
      </w:r>
    </w:p>
    <w:p w14:paraId="57F8BB03" w14:textId="77777777" w:rsidR="00255397" w:rsidRDefault="00255397" w:rsidP="00255397">
      <w:pPr>
        <w:spacing w:after="0" w:line="254" w:lineRule="auto"/>
        <w:jc w:val="both"/>
        <w:rPr>
          <w:rFonts w:ascii="Times New Roman" w:eastAsia="Calibri" w:hAnsi="Times New Roman" w:cs="Times New Roman"/>
          <w:sz w:val="24"/>
          <w:szCs w:val="24"/>
        </w:rPr>
      </w:pPr>
    </w:p>
    <w:p w14:paraId="006FD83B" w14:textId="7B9DC8FC" w:rsidR="00255397" w:rsidRPr="00255397" w:rsidRDefault="00255397" w:rsidP="00255397">
      <w:pPr>
        <w:spacing w:after="0" w:line="254" w:lineRule="auto"/>
        <w:jc w:val="both"/>
        <w:rPr>
          <w:rFonts w:ascii="Times New Roman" w:eastAsia="Calibri" w:hAnsi="Times New Roman" w:cs="Times New Roman"/>
          <w:sz w:val="24"/>
          <w:szCs w:val="24"/>
        </w:rPr>
      </w:pPr>
      <w:r w:rsidRPr="00255397">
        <w:rPr>
          <w:rFonts w:ascii="Times New Roman" w:eastAsia="Calibri" w:hAnsi="Times New Roman" w:cs="Times New Roman"/>
          <w:sz w:val="24"/>
          <w:szCs w:val="24"/>
        </w:rPr>
        <w:t>Vzhľadom na široký okruh upravovaných vzťahov a regulovaných subjektov nie je možné konkrétny pozitívny vplyv vyčísliť.</w:t>
      </w:r>
    </w:p>
    <w:p w14:paraId="0D8F6D64" w14:textId="7C6C6748" w:rsidR="007A4A3E" w:rsidRPr="00DA7A6D" w:rsidRDefault="007A4A3E" w:rsidP="007A4A3E">
      <w:pPr>
        <w:pStyle w:val="Odsekzoznamu"/>
        <w:spacing w:after="0" w:line="254" w:lineRule="auto"/>
        <w:ind w:left="360"/>
        <w:jc w:val="both"/>
        <w:rPr>
          <w:rFonts w:ascii="Times New Roman" w:eastAsia="Calibri" w:hAnsi="Times New Roman" w:cs="Times New Roman"/>
          <w:sz w:val="24"/>
          <w:szCs w:val="24"/>
        </w:rPr>
      </w:pPr>
    </w:p>
    <w:p w14:paraId="59D6CF54" w14:textId="6D64B66C" w:rsidR="0020065D" w:rsidRDefault="00245502" w:rsidP="0020065D">
      <w:pPr>
        <w:spacing w:after="0" w:line="254" w:lineRule="auto"/>
        <w:jc w:val="both"/>
        <w:rPr>
          <w:rFonts w:ascii="Times New Roman" w:eastAsia="Calibri" w:hAnsi="Times New Roman" w:cs="Times New Roman"/>
          <w:b/>
          <w:sz w:val="24"/>
          <w:szCs w:val="24"/>
        </w:rPr>
      </w:pPr>
      <w:r>
        <w:rPr>
          <w:rFonts w:ascii="Times New Roman" w:eastAsia="Calibri" w:hAnsi="Times New Roman" w:cs="Times New Roman"/>
          <w:b/>
          <w:sz w:val="24"/>
          <w:szCs w:val="24"/>
        </w:rPr>
        <w:t>2</w:t>
      </w:r>
      <w:r w:rsidR="00332B19">
        <w:rPr>
          <w:rFonts w:ascii="Times New Roman" w:eastAsia="Calibri" w:hAnsi="Times New Roman" w:cs="Times New Roman"/>
          <w:b/>
          <w:sz w:val="24"/>
          <w:szCs w:val="24"/>
        </w:rPr>
        <w:t xml:space="preserve">. </w:t>
      </w:r>
      <w:r w:rsidR="00255397">
        <w:rPr>
          <w:rFonts w:ascii="Times New Roman" w:eastAsia="Calibri" w:hAnsi="Times New Roman" w:cs="Times New Roman"/>
          <w:b/>
          <w:sz w:val="24"/>
          <w:szCs w:val="24"/>
        </w:rPr>
        <w:t>Forma zmluvy o postúpení pohľadávky</w:t>
      </w:r>
    </w:p>
    <w:p w14:paraId="63C4192E" w14:textId="77777777" w:rsidR="00DA7A6D" w:rsidRPr="00DA7A6D" w:rsidRDefault="00DA7A6D" w:rsidP="0020065D">
      <w:pPr>
        <w:spacing w:after="0" w:line="254" w:lineRule="auto"/>
        <w:jc w:val="both"/>
        <w:rPr>
          <w:rFonts w:ascii="Times New Roman" w:eastAsia="Calibri" w:hAnsi="Times New Roman" w:cs="Times New Roman"/>
          <w:sz w:val="24"/>
          <w:szCs w:val="24"/>
        </w:rPr>
      </w:pPr>
    </w:p>
    <w:p w14:paraId="5F43C19C" w14:textId="39927093" w:rsidR="00497B4D" w:rsidRDefault="00255397" w:rsidP="00497B4D">
      <w:pPr>
        <w:spacing w:after="0" w:line="254" w:lineRule="auto"/>
        <w:jc w:val="both"/>
        <w:rPr>
          <w:rFonts w:ascii="Times New Roman" w:eastAsia="Calibri" w:hAnsi="Times New Roman" w:cs="Times New Roman"/>
          <w:sz w:val="24"/>
          <w:szCs w:val="24"/>
        </w:rPr>
      </w:pPr>
      <w:r w:rsidRPr="00255397">
        <w:rPr>
          <w:rFonts w:ascii="Times New Roman" w:eastAsia="Calibri" w:hAnsi="Times New Roman" w:cs="Times New Roman"/>
          <w:sz w:val="24"/>
          <w:szCs w:val="24"/>
        </w:rPr>
        <w:t xml:space="preserve">V záujme efektívneho presadzovania princípu neformálnosti právnych úkonov sa upúšťa od </w:t>
      </w:r>
      <w:r>
        <w:rPr>
          <w:rFonts w:ascii="Times New Roman" w:eastAsia="Calibri" w:hAnsi="Times New Roman" w:cs="Times New Roman"/>
          <w:sz w:val="24"/>
          <w:szCs w:val="24"/>
        </w:rPr>
        <w:t>povinnej</w:t>
      </w:r>
      <w:r w:rsidRPr="00255397">
        <w:rPr>
          <w:rFonts w:ascii="Times New Roman" w:eastAsia="Calibri" w:hAnsi="Times New Roman" w:cs="Times New Roman"/>
          <w:sz w:val="24"/>
          <w:szCs w:val="24"/>
        </w:rPr>
        <w:t xml:space="preserve"> písomnej formy zmluvy o postúpení pohľadávky</w:t>
      </w:r>
      <w:r>
        <w:rPr>
          <w:rFonts w:ascii="Times New Roman" w:eastAsia="Calibri" w:hAnsi="Times New Roman" w:cs="Times New Roman"/>
          <w:sz w:val="24"/>
          <w:szCs w:val="24"/>
        </w:rPr>
        <w:t xml:space="preserve">. Zároveň však platí, že ak bola zmluva uzavretá v písomnej forme, následný právny úkon (postúpenie pohľadávky) musí byť vyhotovené rovnako v písomnej forme. </w:t>
      </w:r>
    </w:p>
    <w:p w14:paraId="26980696" w14:textId="4C0D806D" w:rsidR="00255397" w:rsidRDefault="00255397" w:rsidP="00497B4D">
      <w:pPr>
        <w:spacing w:after="0" w:line="254" w:lineRule="auto"/>
        <w:jc w:val="both"/>
        <w:rPr>
          <w:rFonts w:ascii="Times New Roman" w:eastAsia="Calibri" w:hAnsi="Times New Roman" w:cs="Times New Roman"/>
          <w:sz w:val="24"/>
          <w:szCs w:val="24"/>
        </w:rPr>
      </w:pPr>
    </w:p>
    <w:p w14:paraId="6EA6C762" w14:textId="4A330E6F" w:rsidR="00255397" w:rsidRDefault="00255397" w:rsidP="00255397">
      <w:pPr>
        <w:spacing w:after="0" w:line="254"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Predkladateľ má za to, že uvedená regulácia má potenciál znížiť administratívnu záťaž pre podnikate</w:t>
      </w:r>
      <w:r w:rsidR="00F24EE7">
        <w:rPr>
          <w:rFonts w:ascii="Times New Roman" w:eastAsia="Calibri" w:hAnsi="Times New Roman" w:cs="Times New Roman"/>
          <w:sz w:val="24"/>
          <w:szCs w:val="24"/>
        </w:rPr>
        <w:t xml:space="preserve">ľov, predpokladá sa tak pozitívny vplyv. </w:t>
      </w:r>
    </w:p>
    <w:p w14:paraId="07742F37" w14:textId="77777777" w:rsidR="00255397" w:rsidRDefault="00255397" w:rsidP="00255397">
      <w:pPr>
        <w:spacing w:after="0" w:line="254" w:lineRule="auto"/>
        <w:jc w:val="both"/>
        <w:rPr>
          <w:rFonts w:ascii="Times New Roman" w:eastAsia="Calibri" w:hAnsi="Times New Roman" w:cs="Times New Roman"/>
          <w:sz w:val="24"/>
          <w:szCs w:val="24"/>
        </w:rPr>
      </w:pPr>
    </w:p>
    <w:p w14:paraId="0AF94D3E" w14:textId="208F9048" w:rsidR="00255397" w:rsidRDefault="00255397" w:rsidP="00255397">
      <w:pPr>
        <w:spacing w:after="0" w:line="254" w:lineRule="auto"/>
        <w:jc w:val="both"/>
        <w:rPr>
          <w:rFonts w:ascii="Times New Roman" w:eastAsia="Calibri" w:hAnsi="Times New Roman" w:cs="Times New Roman"/>
          <w:sz w:val="24"/>
          <w:szCs w:val="24"/>
        </w:rPr>
      </w:pPr>
      <w:r w:rsidRPr="00255397">
        <w:rPr>
          <w:rFonts w:ascii="Times New Roman" w:eastAsia="Calibri" w:hAnsi="Times New Roman" w:cs="Times New Roman"/>
          <w:sz w:val="24"/>
          <w:szCs w:val="24"/>
        </w:rPr>
        <w:lastRenderedPageBreak/>
        <w:t>Vzhľadom na široký okruh upravovaných vzťahov a regulovaných subjektov nie je možné konkrétny pozitívny vplyv vyčísliť.</w:t>
      </w:r>
      <w:r>
        <w:rPr>
          <w:rFonts w:ascii="Times New Roman" w:eastAsia="Calibri" w:hAnsi="Times New Roman" w:cs="Times New Roman"/>
          <w:sz w:val="24"/>
          <w:szCs w:val="24"/>
        </w:rPr>
        <w:t xml:space="preserve"> Predkladateľ nemá informáciu o tom, koľko zmlúv o postúpení pohľadávok je medzi podnikateľmi uzatvorenými. Nejde o parameter, ktorý by bolo možné odhadnúť expertným odhadom, nakoľko uzatváranie takéhoto typu zmlúv je čisto v rozsahu zmluvnej slobody podnikateľov. Naviac, zákon </w:t>
      </w:r>
      <w:r w:rsidR="00F24EE7">
        <w:rPr>
          <w:rFonts w:ascii="Times New Roman" w:eastAsia="Calibri" w:hAnsi="Times New Roman" w:cs="Times New Roman"/>
          <w:sz w:val="24"/>
          <w:szCs w:val="24"/>
        </w:rPr>
        <w:t xml:space="preserve">stále </w:t>
      </w:r>
      <w:r>
        <w:rPr>
          <w:rFonts w:ascii="Times New Roman" w:eastAsia="Calibri" w:hAnsi="Times New Roman" w:cs="Times New Roman"/>
          <w:sz w:val="24"/>
          <w:szCs w:val="24"/>
        </w:rPr>
        <w:t xml:space="preserve">umožňuje písomnú formu </w:t>
      </w:r>
      <w:r w:rsidR="00F24EE7">
        <w:rPr>
          <w:rFonts w:ascii="Times New Roman" w:eastAsia="Calibri" w:hAnsi="Times New Roman" w:cs="Times New Roman"/>
          <w:sz w:val="24"/>
          <w:szCs w:val="24"/>
        </w:rPr>
        <w:t xml:space="preserve">si </w:t>
      </w:r>
      <w:r>
        <w:rPr>
          <w:rFonts w:ascii="Times New Roman" w:eastAsia="Calibri" w:hAnsi="Times New Roman" w:cs="Times New Roman"/>
          <w:sz w:val="24"/>
          <w:szCs w:val="24"/>
        </w:rPr>
        <w:t>medzi stranami dohodnúť. Odhad by tak</w:t>
      </w:r>
      <w:r w:rsidR="00F24EE7">
        <w:rPr>
          <w:rFonts w:ascii="Times New Roman" w:eastAsia="Calibri" w:hAnsi="Times New Roman" w:cs="Times New Roman"/>
          <w:sz w:val="24"/>
          <w:szCs w:val="24"/>
        </w:rPr>
        <w:t xml:space="preserve"> bol veľmi vzdialený od reality a mohol by zakladať do budúcna nereálne požiadavky na hodnotenie regulácie. </w:t>
      </w:r>
    </w:p>
    <w:p w14:paraId="6B23C70A" w14:textId="181F2CFE" w:rsidR="00255397" w:rsidRDefault="00255397" w:rsidP="00255397">
      <w:pPr>
        <w:spacing w:after="0" w:line="254" w:lineRule="auto"/>
        <w:jc w:val="both"/>
        <w:rPr>
          <w:rFonts w:ascii="Times New Roman" w:eastAsia="Calibri" w:hAnsi="Times New Roman" w:cs="Times New Roman"/>
          <w:sz w:val="24"/>
          <w:szCs w:val="24"/>
        </w:rPr>
      </w:pPr>
    </w:p>
    <w:p w14:paraId="7CBB8AB2" w14:textId="66EC34BE" w:rsidR="00255397" w:rsidRDefault="00245502" w:rsidP="00255397">
      <w:pPr>
        <w:spacing w:after="0" w:line="254" w:lineRule="auto"/>
        <w:jc w:val="both"/>
        <w:rPr>
          <w:rFonts w:ascii="Times New Roman" w:eastAsia="Calibri" w:hAnsi="Times New Roman" w:cs="Times New Roman"/>
          <w:b/>
          <w:sz w:val="24"/>
          <w:szCs w:val="24"/>
        </w:rPr>
      </w:pPr>
      <w:r>
        <w:rPr>
          <w:rFonts w:ascii="Times New Roman" w:eastAsia="Calibri" w:hAnsi="Times New Roman" w:cs="Times New Roman"/>
          <w:b/>
          <w:sz w:val="24"/>
          <w:szCs w:val="24"/>
        </w:rPr>
        <w:t>3</w:t>
      </w:r>
      <w:r w:rsidR="00255397">
        <w:rPr>
          <w:rFonts w:ascii="Times New Roman" w:eastAsia="Calibri" w:hAnsi="Times New Roman" w:cs="Times New Roman"/>
          <w:b/>
          <w:sz w:val="24"/>
          <w:szCs w:val="24"/>
        </w:rPr>
        <w:t>. Forma dohody o prevzatí dlhu</w:t>
      </w:r>
    </w:p>
    <w:p w14:paraId="7F0DD939" w14:textId="77777777" w:rsidR="00255397" w:rsidRPr="00255397" w:rsidRDefault="00255397" w:rsidP="00255397">
      <w:pPr>
        <w:spacing w:after="0" w:line="254" w:lineRule="auto"/>
        <w:jc w:val="both"/>
        <w:rPr>
          <w:rFonts w:ascii="Times New Roman" w:eastAsia="Calibri" w:hAnsi="Times New Roman" w:cs="Times New Roman"/>
          <w:sz w:val="24"/>
          <w:szCs w:val="24"/>
        </w:rPr>
      </w:pPr>
    </w:p>
    <w:p w14:paraId="494B8C9B" w14:textId="6912DBB9" w:rsidR="00255397" w:rsidRDefault="00255397" w:rsidP="00255397">
      <w:pPr>
        <w:spacing w:after="0" w:line="254" w:lineRule="auto"/>
        <w:jc w:val="both"/>
        <w:rPr>
          <w:rFonts w:ascii="Times New Roman" w:eastAsia="Calibri" w:hAnsi="Times New Roman" w:cs="Times New Roman"/>
          <w:sz w:val="24"/>
          <w:szCs w:val="24"/>
        </w:rPr>
      </w:pPr>
      <w:r w:rsidRPr="00255397">
        <w:rPr>
          <w:rFonts w:ascii="Times New Roman" w:eastAsia="Calibri" w:hAnsi="Times New Roman" w:cs="Times New Roman"/>
          <w:sz w:val="24"/>
          <w:szCs w:val="24"/>
        </w:rPr>
        <w:t xml:space="preserve">V záujme efektívneho presadzovania princípu neformálnosti právnych úkonov sa upúšťa od </w:t>
      </w:r>
      <w:r>
        <w:rPr>
          <w:rFonts w:ascii="Times New Roman" w:eastAsia="Calibri" w:hAnsi="Times New Roman" w:cs="Times New Roman"/>
          <w:sz w:val="24"/>
          <w:szCs w:val="24"/>
        </w:rPr>
        <w:t>povinnej</w:t>
      </w:r>
      <w:r w:rsidRPr="00255397">
        <w:rPr>
          <w:rFonts w:ascii="Times New Roman" w:eastAsia="Calibri" w:hAnsi="Times New Roman" w:cs="Times New Roman"/>
          <w:sz w:val="24"/>
          <w:szCs w:val="24"/>
        </w:rPr>
        <w:t xml:space="preserve"> písomnej formy </w:t>
      </w:r>
      <w:r w:rsidR="00325DA2">
        <w:rPr>
          <w:rFonts w:ascii="Times New Roman" w:eastAsia="Calibri" w:hAnsi="Times New Roman" w:cs="Times New Roman"/>
          <w:sz w:val="24"/>
          <w:szCs w:val="24"/>
        </w:rPr>
        <w:t>dohody o prevzatí dlhu</w:t>
      </w:r>
      <w:r>
        <w:rPr>
          <w:rFonts w:ascii="Times New Roman" w:eastAsia="Calibri" w:hAnsi="Times New Roman" w:cs="Times New Roman"/>
          <w:sz w:val="24"/>
          <w:szCs w:val="24"/>
        </w:rPr>
        <w:t xml:space="preserve">. Zároveň však platí, že ak bola zmluva uzavretá v písomnej forme, následný právny úkon (prevzatie dlhu) musí byť vyhotovené rovnako v písomnej forme. </w:t>
      </w:r>
    </w:p>
    <w:p w14:paraId="1870F7E0" w14:textId="2F369C88" w:rsidR="00255397" w:rsidRDefault="00255397" w:rsidP="00255397">
      <w:pPr>
        <w:spacing w:after="0" w:line="254"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Predkladateľ má za to, že uvedená regulácia má potenciál znížiť administratívnu záťaž pre podnikate</w:t>
      </w:r>
      <w:r w:rsidR="00F24EE7">
        <w:rPr>
          <w:rFonts w:ascii="Times New Roman" w:eastAsia="Calibri" w:hAnsi="Times New Roman" w:cs="Times New Roman"/>
          <w:sz w:val="24"/>
          <w:szCs w:val="24"/>
        </w:rPr>
        <w:t xml:space="preserve">ľov, predpokladá sa tak pozitívny vplyv. </w:t>
      </w:r>
    </w:p>
    <w:p w14:paraId="40E2186D" w14:textId="77777777" w:rsidR="00255397" w:rsidRDefault="00255397" w:rsidP="00255397">
      <w:pPr>
        <w:spacing w:after="0" w:line="254" w:lineRule="auto"/>
        <w:jc w:val="both"/>
        <w:rPr>
          <w:rFonts w:ascii="Times New Roman" w:eastAsia="Calibri" w:hAnsi="Times New Roman" w:cs="Times New Roman"/>
          <w:sz w:val="24"/>
          <w:szCs w:val="24"/>
        </w:rPr>
      </w:pPr>
    </w:p>
    <w:p w14:paraId="05A7FF27" w14:textId="18F41E2A" w:rsidR="00F24EE7" w:rsidRDefault="00255397" w:rsidP="00F24EE7">
      <w:pPr>
        <w:spacing w:after="0" w:line="254" w:lineRule="auto"/>
        <w:jc w:val="both"/>
        <w:rPr>
          <w:rFonts w:ascii="Times New Roman" w:eastAsia="Calibri" w:hAnsi="Times New Roman" w:cs="Times New Roman"/>
          <w:sz w:val="24"/>
          <w:szCs w:val="24"/>
        </w:rPr>
      </w:pPr>
      <w:r w:rsidRPr="00255397">
        <w:rPr>
          <w:rFonts w:ascii="Times New Roman" w:eastAsia="Calibri" w:hAnsi="Times New Roman" w:cs="Times New Roman"/>
          <w:sz w:val="24"/>
          <w:szCs w:val="24"/>
        </w:rPr>
        <w:t>Vzhľadom na široký okruh upravovaných vzťahov a regulovaných subjektov nie je možné konkrétny pozitívny vplyv vyčísliť.</w:t>
      </w:r>
      <w:r>
        <w:rPr>
          <w:rFonts w:ascii="Times New Roman" w:eastAsia="Calibri" w:hAnsi="Times New Roman" w:cs="Times New Roman"/>
          <w:sz w:val="24"/>
          <w:szCs w:val="24"/>
        </w:rPr>
        <w:t xml:space="preserve"> Predkladateľ nemá informáciu o tom, koľko dohôd o prevzatí dlhu je medzi podnikateľmi uzatvorenými.</w:t>
      </w:r>
      <w:r w:rsidR="00F24EE7" w:rsidRPr="00F24EE7">
        <w:rPr>
          <w:rFonts w:ascii="Times New Roman" w:eastAsia="Calibri" w:hAnsi="Times New Roman" w:cs="Times New Roman"/>
          <w:sz w:val="24"/>
          <w:szCs w:val="24"/>
        </w:rPr>
        <w:t xml:space="preserve"> </w:t>
      </w:r>
      <w:r w:rsidR="00F24EE7">
        <w:rPr>
          <w:rFonts w:ascii="Times New Roman" w:eastAsia="Calibri" w:hAnsi="Times New Roman" w:cs="Times New Roman"/>
          <w:sz w:val="24"/>
          <w:szCs w:val="24"/>
        </w:rPr>
        <w:t xml:space="preserve">Nejde o parameter, ktorý by bolo možné odhadnúť expertným odhadom, nakoľko uzatváranie takéhoto typu zmlúv je čisto v rozsahu zmluvnej slobody podnikateľov. Naviac, zákon stále umožňuje písomnú formu si medzi stranami dohodnúť. Odhad by tak bol veľmi vzdialený od reality a mohol by zakladať do budúcna nereálne požiadavky na hodnotenie regulácie. </w:t>
      </w:r>
    </w:p>
    <w:p w14:paraId="3CCFF573" w14:textId="11C4D4E1" w:rsidR="00255397" w:rsidRDefault="00255397" w:rsidP="00255397">
      <w:pPr>
        <w:spacing w:after="0" w:line="254" w:lineRule="auto"/>
        <w:jc w:val="both"/>
        <w:rPr>
          <w:rFonts w:ascii="Times New Roman" w:eastAsia="Calibri" w:hAnsi="Times New Roman" w:cs="Times New Roman"/>
          <w:sz w:val="24"/>
          <w:szCs w:val="24"/>
        </w:rPr>
      </w:pPr>
    </w:p>
    <w:p w14:paraId="472788EA" w14:textId="57E0B689" w:rsidR="00F24EE7" w:rsidRPr="00F24EE7" w:rsidRDefault="00245502" w:rsidP="00255397">
      <w:pPr>
        <w:spacing w:after="0" w:line="254" w:lineRule="auto"/>
        <w:jc w:val="both"/>
        <w:rPr>
          <w:rFonts w:ascii="Times New Roman" w:eastAsia="Calibri" w:hAnsi="Times New Roman" w:cs="Times New Roman"/>
          <w:b/>
          <w:sz w:val="24"/>
          <w:szCs w:val="24"/>
        </w:rPr>
      </w:pPr>
      <w:r>
        <w:rPr>
          <w:rFonts w:ascii="Times New Roman" w:eastAsia="Calibri" w:hAnsi="Times New Roman" w:cs="Times New Roman"/>
          <w:b/>
          <w:sz w:val="24"/>
          <w:szCs w:val="24"/>
        </w:rPr>
        <w:t>4</w:t>
      </w:r>
      <w:r w:rsidR="00F24EE7" w:rsidRPr="00F24EE7">
        <w:rPr>
          <w:rFonts w:ascii="Times New Roman" w:eastAsia="Calibri" w:hAnsi="Times New Roman" w:cs="Times New Roman"/>
          <w:b/>
          <w:sz w:val="24"/>
          <w:szCs w:val="24"/>
        </w:rPr>
        <w:t>. Peňažná zábezpeka</w:t>
      </w:r>
    </w:p>
    <w:p w14:paraId="505D1020" w14:textId="77777777" w:rsidR="00F24EE7" w:rsidRDefault="00F24EE7" w:rsidP="00255397">
      <w:pPr>
        <w:spacing w:after="0" w:line="254" w:lineRule="auto"/>
        <w:jc w:val="both"/>
        <w:rPr>
          <w:rFonts w:ascii="Times New Roman" w:eastAsia="Calibri" w:hAnsi="Times New Roman" w:cs="Times New Roman"/>
          <w:sz w:val="24"/>
          <w:szCs w:val="24"/>
        </w:rPr>
      </w:pPr>
    </w:p>
    <w:p w14:paraId="3D04C1B8" w14:textId="6574641E" w:rsidR="00255397" w:rsidRDefault="00F24EE7" w:rsidP="00497B4D">
      <w:pPr>
        <w:spacing w:after="0" w:line="254" w:lineRule="auto"/>
        <w:jc w:val="both"/>
        <w:rPr>
          <w:rFonts w:ascii="Times New Roman" w:eastAsia="Calibri" w:hAnsi="Times New Roman" w:cs="Times New Roman"/>
          <w:sz w:val="24"/>
          <w:szCs w:val="24"/>
        </w:rPr>
      </w:pPr>
      <w:r w:rsidRPr="00F24EE7">
        <w:rPr>
          <w:rFonts w:ascii="Times New Roman" w:eastAsia="Calibri" w:hAnsi="Times New Roman" w:cs="Times New Roman"/>
          <w:sz w:val="24"/>
          <w:szCs w:val="24"/>
        </w:rPr>
        <w:t xml:space="preserve">Zavádza sa inštitút peňažnej zábezpeky, ktorý zodpovedá štandardným inominátnym dohodám o tzv. peňažnej kaucii a vykazuje niektoré substanciálne prvky preddavku a závdavku. Jeho použitie je univerzálne a v praxi sa predpokladajú rôzne obsahové modifikácie v nadväznosti na dispozitívnu povahu civilnoprávnej úpravy. Jej podstatou je však peňažné plnenie vopred, ktoré má primárne zabezpečovací a sekundárne </w:t>
      </w:r>
      <w:proofErr w:type="spellStart"/>
      <w:r w:rsidRPr="00F24EE7">
        <w:rPr>
          <w:rFonts w:ascii="Times New Roman" w:eastAsia="Calibri" w:hAnsi="Times New Roman" w:cs="Times New Roman"/>
          <w:sz w:val="24"/>
          <w:szCs w:val="24"/>
        </w:rPr>
        <w:t>solučný</w:t>
      </w:r>
      <w:proofErr w:type="spellEnd"/>
      <w:r w:rsidRPr="00F24EE7">
        <w:rPr>
          <w:rFonts w:ascii="Times New Roman" w:eastAsia="Calibri" w:hAnsi="Times New Roman" w:cs="Times New Roman"/>
          <w:sz w:val="24"/>
          <w:szCs w:val="24"/>
        </w:rPr>
        <w:t xml:space="preserve"> charakter.</w:t>
      </w:r>
    </w:p>
    <w:p w14:paraId="7FD4BEDC" w14:textId="09546424" w:rsidR="00F24EE7" w:rsidRDefault="00F24EE7" w:rsidP="00497B4D">
      <w:pPr>
        <w:spacing w:after="0" w:line="254" w:lineRule="auto"/>
        <w:jc w:val="both"/>
        <w:rPr>
          <w:rFonts w:ascii="Times New Roman" w:eastAsia="Calibri" w:hAnsi="Times New Roman" w:cs="Times New Roman"/>
          <w:sz w:val="24"/>
          <w:szCs w:val="24"/>
        </w:rPr>
      </w:pPr>
    </w:p>
    <w:p w14:paraId="0BF44730" w14:textId="77777777" w:rsidR="00F24EE7" w:rsidRDefault="00F24EE7" w:rsidP="00F24EE7">
      <w:pPr>
        <w:spacing w:after="0" w:line="254"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Predkladateľ má za to, že uvedená regulácia má potenciál znížiť administratívnu záťaž pre podnikateľov, nakoľko si môžu vo svojej zmluve dohodnúť takýto efektívny spôsob zabezpečenia, kde </w:t>
      </w:r>
    </w:p>
    <w:p w14:paraId="0A906AFF" w14:textId="33B2FC01" w:rsidR="00F24EE7" w:rsidRDefault="00F24EE7" w:rsidP="00F24EE7">
      <w:pPr>
        <w:pStyle w:val="Odsekzoznamu"/>
        <w:numPr>
          <w:ilvl w:val="0"/>
          <w:numId w:val="17"/>
        </w:numPr>
        <w:spacing w:after="0" w:line="254" w:lineRule="auto"/>
        <w:jc w:val="both"/>
        <w:rPr>
          <w:rFonts w:ascii="Times New Roman" w:eastAsia="Calibri" w:hAnsi="Times New Roman" w:cs="Times New Roman"/>
          <w:sz w:val="24"/>
          <w:szCs w:val="24"/>
        </w:rPr>
      </w:pPr>
      <w:r w:rsidRPr="00F24EE7">
        <w:rPr>
          <w:rFonts w:ascii="Times New Roman" w:eastAsia="Calibri" w:hAnsi="Times New Roman" w:cs="Times New Roman"/>
          <w:sz w:val="24"/>
          <w:szCs w:val="24"/>
        </w:rPr>
        <w:t>odpadá povinnosť získavať bankovú zábezpeku (administratívna</w:t>
      </w:r>
      <w:r>
        <w:rPr>
          <w:rFonts w:ascii="Times New Roman" w:eastAsia="Calibri" w:hAnsi="Times New Roman" w:cs="Times New Roman"/>
          <w:sz w:val="24"/>
          <w:szCs w:val="24"/>
        </w:rPr>
        <w:t>, časová</w:t>
      </w:r>
      <w:r w:rsidRPr="00F24EE7">
        <w:rPr>
          <w:rFonts w:ascii="Times New Roman" w:eastAsia="Calibri" w:hAnsi="Times New Roman" w:cs="Times New Roman"/>
          <w:sz w:val="24"/>
          <w:szCs w:val="24"/>
        </w:rPr>
        <w:t xml:space="preserve"> a finančná záťaž) a </w:t>
      </w:r>
    </w:p>
    <w:p w14:paraId="29D47F5B" w14:textId="77777777" w:rsidR="00F24EE7" w:rsidRDefault="00F24EE7" w:rsidP="00F24EE7">
      <w:pPr>
        <w:pStyle w:val="Odsekzoznamu"/>
        <w:numPr>
          <w:ilvl w:val="0"/>
          <w:numId w:val="17"/>
        </w:numPr>
        <w:spacing w:after="0" w:line="254"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je zabezpečené efektívne a rýchle uspokojenie sa veriteľa v prípade nesplnenia dlžníka bez potreby súdneho vymáhania a exekúcie </w:t>
      </w:r>
      <w:r w:rsidRPr="00F24EE7">
        <w:rPr>
          <w:rFonts w:ascii="Times New Roman" w:eastAsia="Calibri" w:hAnsi="Times New Roman" w:cs="Times New Roman"/>
          <w:sz w:val="24"/>
          <w:szCs w:val="24"/>
        </w:rPr>
        <w:t>administratívna</w:t>
      </w:r>
      <w:r>
        <w:rPr>
          <w:rFonts w:ascii="Times New Roman" w:eastAsia="Calibri" w:hAnsi="Times New Roman" w:cs="Times New Roman"/>
          <w:sz w:val="24"/>
          <w:szCs w:val="24"/>
        </w:rPr>
        <w:t>, časová</w:t>
      </w:r>
      <w:r w:rsidRPr="00F24EE7">
        <w:rPr>
          <w:rFonts w:ascii="Times New Roman" w:eastAsia="Calibri" w:hAnsi="Times New Roman" w:cs="Times New Roman"/>
          <w:sz w:val="24"/>
          <w:szCs w:val="24"/>
        </w:rPr>
        <w:t xml:space="preserve"> a finančná záťaž</w:t>
      </w:r>
      <w:r>
        <w:rPr>
          <w:rFonts w:ascii="Times New Roman" w:eastAsia="Calibri" w:hAnsi="Times New Roman" w:cs="Times New Roman"/>
          <w:sz w:val="24"/>
          <w:szCs w:val="24"/>
        </w:rPr>
        <w:t>).</w:t>
      </w:r>
    </w:p>
    <w:p w14:paraId="340990C5" w14:textId="77777777" w:rsidR="00F24EE7" w:rsidRPr="00F24EE7" w:rsidRDefault="00F24EE7" w:rsidP="00F24EE7">
      <w:pPr>
        <w:spacing w:after="0" w:line="254" w:lineRule="auto"/>
        <w:jc w:val="both"/>
        <w:rPr>
          <w:rFonts w:ascii="Times New Roman" w:eastAsia="Calibri" w:hAnsi="Times New Roman" w:cs="Times New Roman"/>
          <w:sz w:val="24"/>
          <w:szCs w:val="24"/>
        </w:rPr>
      </w:pPr>
    </w:p>
    <w:p w14:paraId="2D558F4A" w14:textId="5D1AE4E9" w:rsidR="00F24EE7" w:rsidRPr="00F24EE7" w:rsidRDefault="00F24EE7" w:rsidP="00F24EE7">
      <w:pPr>
        <w:spacing w:after="0" w:line="254"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P</w:t>
      </w:r>
      <w:r w:rsidRPr="00F24EE7">
        <w:rPr>
          <w:rFonts w:ascii="Times New Roman" w:eastAsia="Calibri" w:hAnsi="Times New Roman" w:cs="Times New Roman"/>
          <w:sz w:val="24"/>
          <w:szCs w:val="24"/>
        </w:rPr>
        <w:t>redpokladá sa tak pozitívny vplyv</w:t>
      </w:r>
      <w:r>
        <w:rPr>
          <w:rFonts w:ascii="Times New Roman" w:eastAsia="Calibri" w:hAnsi="Times New Roman" w:cs="Times New Roman"/>
          <w:sz w:val="24"/>
          <w:szCs w:val="24"/>
        </w:rPr>
        <w:t xml:space="preserve"> na podnikateľské prostredie</w:t>
      </w:r>
      <w:r w:rsidRPr="00F24EE7">
        <w:rPr>
          <w:rFonts w:ascii="Times New Roman" w:eastAsia="Calibri" w:hAnsi="Times New Roman" w:cs="Times New Roman"/>
          <w:sz w:val="24"/>
          <w:szCs w:val="24"/>
        </w:rPr>
        <w:t xml:space="preserve">. </w:t>
      </w:r>
    </w:p>
    <w:p w14:paraId="3406CA9A" w14:textId="77777777" w:rsidR="00F24EE7" w:rsidRDefault="00F24EE7" w:rsidP="00F24EE7">
      <w:pPr>
        <w:spacing w:after="0" w:line="254" w:lineRule="auto"/>
        <w:jc w:val="both"/>
        <w:rPr>
          <w:rFonts w:ascii="Times New Roman" w:eastAsia="Calibri" w:hAnsi="Times New Roman" w:cs="Times New Roman"/>
          <w:sz w:val="24"/>
          <w:szCs w:val="24"/>
        </w:rPr>
      </w:pPr>
    </w:p>
    <w:p w14:paraId="6C0ADFBC" w14:textId="4D8B1FA7" w:rsidR="00F24EE7" w:rsidRDefault="00F24EE7" w:rsidP="00F24EE7">
      <w:pPr>
        <w:spacing w:after="0" w:line="254" w:lineRule="auto"/>
        <w:jc w:val="both"/>
        <w:rPr>
          <w:rFonts w:ascii="Times New Roman" w:eastAsia="Calibri" w:hAnsi="Times New Roman" w:cs="Times New Roman"/>
          <w:sz w:val="24"/>
          <w:szCs w:val="24"/>
        </w:rPr>
      </w:pPr>
      <w:r w:rsidRPr="00255397">
        <w:rPr>
          <w:rFonts w:ascii="Times New Roman" w:eastAsia="Calibri" w:hAnsi="Times New Roman" w:cs="Times New Roman"/>
          <w:sz w:val="24"/>
          <w:szCs w:val="24"/>
        </w:rPr>
        <w:t>Vzhľadom na široký okruh upravovaných vzťahov a regulovaných subjektov nie je možné konkrétny pozitívny vplyv vyčísliť.</w:t>
      </w:r>
      <w:r w:rsidRPr="00F24EE7">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Nejde o parameter, ktorý by bolo možné odhadnúť expertným odhadom, nakoľko uzatváranie takéhoto typu zmlúv je čisto v rozsahu zmluvnej slobody podnikateľov. </w:t>
      </w:r>
    </w:p>
    <w:p w14:paraId="6D4A253A" w14:textId="753F15D6" w:rsidR="009A3518" w:rsidRDefault="009A3518" w:rsidP="00F24EE7">
      <w:pPr>
        <w:spacing w:after="0" w:line="254" w:lineRule="auto"/>
        <w:jc w:val="both"/>
        <w:rPr>
          <w:rFonts w:ascii="Times New Roman" w:eastAsia="Calibri" w:hAnsi="Times New Roman" w:cs="Times New Roman"/>
          <w:sz w:val="24"/>
          <w:szCs w:val="24"/>
        </w:rPr>
      </w:pPr>
    </w:p>
    <w:p w14:paraId="1035A310" w14:textId="1A85EC66" w:rsidR="009A3518" w:rsidRDefault="00245502" w:rsidP="00F24EE7">
      <w:pPr>
        <w:spacing w:after="0" w:line="254" w:lineRule="auto"/>
        <w:jc w:val="both"/>
        <w:rPr>
          <w:rFonts w:ascii="Times New Roman" w:eastAsia="Calibri" w:hAnsi="Times New Roman" w:cs="Times New Roman"/>
          <w:b/>
          <w:sz w:val="24"/>
          <w:szCs w:val="24"/>
        </w:rPr>
      </w:pPr>
      <w:r>
        <w:rPr>
          <w:rFonts w:ascii="Times New Roman" w:eastAsia="Calibri" w:hAnsi="Times New Roman" w:cs="Times New Roman"/>
          <w:b/>
          <w:sz w:val="24"/>
          <w:szCs w:val="24"/>
        </w:rPr>
        <w:lastRenderedPageBreak/>
        <w:t>5</w:t>
      </w:r>
      <w:r w:rsidR="009A3518" w:rsidRPr="009A3518">
        <w:rPr>
          <w:rFonts w:ascii="Times New Roman" w:eastAsia="Calibri" w:hAnsi="Times New Roman" w:cs="Times New Roman"/>
          <w:b/>
          <w:sz w:val="24"/>
          <w:szCs w:val="24"/>
        </w:rPr>
        <w:t xml:space="preserve">. Potreba úpravy všeobecných </w:t>
      </w:r>
      <w:r w:rsidR="009A3518">
        <w:rPr>
          <w:rFonts w:ascii="Times New Roman" w:eastAsia="Calibri" w:hAnsi="Times New Roman" w:cs="Times New Roman"/>
          <w:b/>
          <w:sz w:val="24"/>
          <w:szCs w:val="24"/>
        </w:rPr>
        <w:t>obchodných</w:t>
      </w:r>
      <w:r w:rsidR="009A3518" w:rsidRPr="009A3518">
        <w:rPr>
          <w:rFonts w:ascii="Times New Roman" w:eastAsia="Calibri" w:hAnsi="Times New Roman" w:cs="Times New Roman"/>
          <w:b/>
          <w:sz w:val="24"/>
          <w:szCs w:val="24"/>
        </w:rPr>
        <w:t xml:space="preserve"> podmienok</w:t>
      </w:r>
      <w:r w:rsidR="009A3518">
        <w:rPr>
          <w:rFonts w:ascii="Times New Roman" w:eastAsia="Calibri" w:hAnsi="Times New Roman" w:cs="Times New Roman"/>
          <w:b/>
          <w:sz w:val="24"/>
          <w:szCs w:val="24"/>
        </w:rPr>
        <w:t>/formulárových zmlúv</w:t>
      </w:r>
    </w:p>
    <w:p w14:paraId="04A1D529" w14:textId="3DAD5730" w:rsidR="009A3518" w:rsidRDefault="009A3518" w:rsidP="00F24EE7">
      <w:pPr>
        <w:spacing w:after="0" w:line="254" w:lineRule="auto"/>
        <w:jc w:val="both"/>
        <w:rPr>
          <w:rFonts w:ascii="Times New Roman" w:eastAsia="Calibri" w:hAnsi="Times New Roman" w:cs="Times New Roman"/>
          <w:b/>
          <w:sz w:val="24"/>
          <w:szCs w:val="24"/>
        </w:rPr>
      </w:pPr>
    </w:p>
    <w:p w14:paraId="3DF69FC2" w14:textId="7CA09797" w:rsidR="009A3518" w:rsidRDefault="009A3518" w:rsidP="00F24EE7">
      <w:pPr>
        <w:spacing w:after="0" w:line="254"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V súvislosti so zmenami v oblasti záväzkového práva predkladateľ identifikuje, že tie podnikateľské subjekty, ktoré využívajú pri uzatváraní zmlúv všeobecné obchodné podmienky, prípadne formulárové zmluvy, budú musieť tieto svoje dokumenty upraviť. Pôjde tam o zmeny odkazov na navrhovanú reguláciu, ako aj prispôsobenie </w:t>
      </w:r>
      <w:proofErr w:type="spellStart"/>
      <w:r>
        <w:rPr>
          <w:rFonts w:ascii="Times New Roman" w:eastAsia="Calibri" w:hAnsi="Times New Roman" w:cs="Times New Roman"/>
          <w:sz w:val="24"/>
          <w:szCs w:val="24"/>
        </w:rPr>
        <w:t>pojmológie</w:t>
      </w:r>
      <w:proofErr w:type="spellEnd"/>
      <w:r>
        <w:rPr>
          <w:rFonts w:ascii="Times New Roman" w:eastAsia="Calibri" w:hAnsi="Times New Roman" w:cs="Times New Roman"/>
          <w:sz w:val="24"/>
          <w:szCs w:val="24"/>
        </w:rPr>
        <w:t xml:space="preserve">, prípadne úpravy označenia zmluvných strán. </w:t>
      </w:r>
    </w:p>
    <w:p w14:paraId="37E47DEF" w14:textId="34FEDEB7" w:rsidR="009A3518" w:rsidRDefault="009A3518" w:rsidP="00F24EE7">
      <w:pPr>
        <w:spacing w:after="0" w:line="254" w:lineRule="auto"/>
        <w:jc w:val="both"/>
        <w:rPr>
          <w:rFonts w:ascii="Times New Roman" w:eastAsia="Calibri" w:hAnsi="Times New Roman" w:cs="Times New Roman"/>
          <w:sz w:val="24"/>
          <w:szCs w:val="24"/>
        </w:rPr>
      </w:pPr>
    </w:p>
    <w:p w14:paraId="30B2E2CE" w14:textId="61C3E835" w:rsidR="009A3518" w:rsidRPr="009A3518" w:rsidRDefault="009A3518" w:rsidP="00F24EE7">
      <w:pPr>
        <w:spacing w:after="0" w:line="254"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Predpokladá sa tam zvýšenie administratívnej záťaže ako negatívny vplyv na podnikateľské prostredie. </w:t>
      </w:r>
    </w:p>
    <w:p w14:paraId="05927972" w14:textId="306D68CC" w:rsidR="00F24EE7" w:rsidRDefault="00F24EE7" w:rsidP="00F24EE7">
      <w:pPr>
        <w:spacing w:after="0" w:line="254" w:lineRule="auto"/>
        <w:jc w:val="both"/>
        <w:rPr>
          <w:rFonts w:ascii="Times New Roman" w:eastAsia="Calibri" w:hAnsi="Times New Roman" w:cs="Times New Roman"/>
          <w:sz w:val="24"/>
          <w:szCs w:val="24"/>
        </w:rPr>
      </w:pPr>
    </w:p>
    <w:p w14:paraId="100F9125" w14:textId="7555315E" w:rsidR="009A3518" w:rsidRDefault="009A3518" w:rsidP="009A3518">
      <w:pPr>
        <w:spacing w:after="0" w:line="254" w:lineRule="auto"/>
        <w:jc w:val="both"/>
        <w:rPr>
          <w:rFonts w:ascii="Times New Roman" w:eastAsia="Calibri" w:hAnsi="Times New Roman" w:cs="Times New Roman"/>
          <w:sz w:val="24"/>
          <w:szCs w:val="24"/>
        </w:rPr>
      </w:pPr>
      <w:r w:rsidRPr="00255397">
        <w:rPr>
          <w:rFonts w:ascii="Times New Roman" w:eastAsia="Calibri" w:hAnsi="Times New Roman" w:cs="Times New Roman"/>
          <w:sz w:val="24"/>
          <w:szCs w:val="24"/>
        </w:rPr>
        <w:t>Vzhľadom na široký okruh upravovaných vzťahov a regulovaných subjektov nie je možné konkrétny pozitívny vplyv vyčísliť.</w:t>
      </w:r>
      <w:r w:rsidRPr="00F24EE7">
        <w:rPr>
          <w:rFonts w:ascii="Times New Roman" w:eastAsia="Calibri" w:hAnsi="Times New Roman" w:cs="Times New Roman"/>
          <w:sz w:val="24"/>
          <w:szCs w:val="24"/>
        </w:rPr>
        <w:t xml:space="preserve"> </w:t>
      </w:r>
      <w:r>
        <w:rPr>
          <w:rFonts w:ascii="Times New Roman" w:eastAsia="Calibri" w:hAnsi="Times New Roman" w:cs="Times New Roman"/>
          <w:sz w:val="24"/>
          <w:szCs w:val="24"/>
        </w:rPr>
        <w:t>Nejde o parameter, ktorý by bolo možné odhadnúť expertným odhadom, nakoľko uzatváranie takéhoto typu zmlúv je čisto v rozsahu zmluvnej slobody podnikateľov. Predkladateľ nemá informáciu, aké subjekty takéto typy dokumentov používajú, ako často a vzhľadom na množstvo možností údajov, ktoré obsahujú, nie je možné odhadnúť ani pr</w:t>
      </w:r>
      <w:r w:rsidR="00301AA8">
        <w:rPr>
          <w:rFonts w:ascii="Times New Roman" w:eastAsia="Calibri" w:hAnsi="Times New Roman" w:cs="Times New Roman"/>
          <w:sz w:val="24"/>
          <w:szCs w:val="24"/>
        </w:rPr>
        <w:t>á</w:t>
      </w:r>
      <w:r>
        <w:rPr>
          <w:rFonts w:ascii="Times New Roman" w:eastAsia="Calibri" w:hAnsi="Times New Roman" w:cs="Times New Roman"/>
          <w:sz w:val="24"/>
          <w:szCs w:val="24"/>
        </w:rPr>
        <w:t xml:space="preserve">cnosť úpravy týchto dokumentov. </w:t>
      </w:r>
    </w:p>
    <w:p w14:paraId="705A35F8" w14:textId="77777777" w:rsidR="009A3518" w:rsidRDefault="009A3518" w:rsidP="00F24EE7">
      <w:pPr>
        <w:spacing w:after="0" w:line="254" w:lineRule="auto"/>
        <w:jc w:val="both"/>
        <w:rPr>
          <w:rFonts w:ascii="Times New Roman" w:eastAsia="Calibri" w:hAnsi="Times New Roman" w:cs="Times New Roman"/>
          <w:sz w:val="24"/>
          <w:szCs w:val="24"/>
        </w:rPr>
      </w:pPr>
    </w:p>
    <w:p w14:paraId="1132627E" w14:textId="77777777" w:rsidR="00E76930" w:rsidRPr="00F24EE7" w:rsidRDefault="00E76930" w:rsidP="00C276B8">
      <w:pPr>
        <w:spacing w:after="0" w:line="254" w:lineRule="auto"/>
        <w:jc w:val="both"/>
        <w:rPr>
          <w:rFonts w:ascii="Times New Roman" w:eastAsia="Calibri" w:hAnsi="Times New Roman" w:cs="Times New Roman"/>
          <w:sz w:val="24"/>
          <w:szCs w:val="24"/>
        </w:rPr>
      </w:pPr>
    </w:p>
    <w:sectPr w:rsidR="00E76930" w:rsidRPr="00F24EE7" w:rsidSect="00231B8F">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69DC8C" w14:textId="77777777" w:rsidR="00FF7A63" w:rsidRDefault="00FF7A63" w:rsidP="00054C41">
      <w:pPr>
        <w:spacing w:after="0" w:line="240" w:lineRule="auto"/>
      </w:pPr>
      <w:r>
        <w:separator/>
      </w:r>
    </w:p>
  </w:endnote>
  <w:endnote w:type="continuationSeparator" w:id="0">
    <w:p w14:paraId="0F22BCD0" w14:textId="77777777" w:rsidR="00FF7A63" w:rsidRDefault="00FF7A63" w:rsidP="00054C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26035099"/>
      <w:docPartObj>
        <w:docPartGallery w:val="Page Numbers (Bottom of Page)"/>
        <w:docPartUnique/>
      </w:docPartObj>
    </w:sdtPr>
    <w:sdtEndPr>
      <w:rPr>
        <w:rFonts w:ascii="Times New Roman" w:hAnsi="Times New Roman" w:cs="Times New Roman"/>
        <w:sz w:val="24"/>
        <w:szCs w:val="24"/>
      </w:rPr>
    </w:sdtEndPr>
    <w:sdtContent>
      <w:p w14:paraId="5D55F2F5" w14:textId="58547A6B" w:rsidR="008342BB" w:rsidRPr="006045CB" w:rsidRDefault="008342BB" w:rsidP="00054C41">
        <w:pPr>
          <w:pStyle w:val="Pta"/>
          <w:jc w:val="right"/>
          <w:rPr>
            <w:rFonts w:ascii="Times New Roman" w:hAnsi="Times New Roman" w:cs="Times New Roman"/>
            <w:sz w:val="24"/>
            <w:szCs w:val="24"/>
          </w:rPr>
        </w:pPr>
        <w:r w:rsidRPr="006045CB">
          <w:rPr>
            <w:rFonts w:ascii="Times New Roman" w:hAnsi="Times New Roman" w:cs="Times New Roman"/>
            <w:sz w:val="24"/>
            <w:szCs w:val="24"/>
          </w:rPr>
          <w:fldChar w:fldCharType="begin"/>
        </w:r>
        <w:r w:rsidRPr="006045CB">
          <w:rPr>
            <w:rFonts w:ascii="Times New Roman" w:hAnsi="Times New Roman" w:cs="Times New Roman"/>
            <w:sz w:val="24"/>
            <w:szCs w:val="24"/>
          </w:rPr>
          <w:instrText>PAGE   \* MERGEFORMAT</w:instrText>
        </w:r>
        <w:r w:rsidRPr="006045CB">
          <w:rPr>
            <w:rFonts w:ascii="Times New Roman" w:hAnsi="Times New Roman" w:cs="Times New Roman"/>
            <w:sz w:val="24"/>
            <w:szCs w:val="24"/>
          </w:rPr>
          <w:fldChar w:fldCharType="separate"/>
        </w:r>
        <w:r w:rsidR="0078666B">
          <w:rPr>
            <w:rFonts w:ascii="Times New Roman" w:hAnsi="Times New Roman" w:cs="Times New Roman"/>
            <w:noProof/>
            <w:sz w:val="24"/>
            <w:szCs w:val="24"/>
          </w:rPr>
          <w:t>4</w:t>
        </w:r>
        <w:r w:rsidRPr="006045CB">
          <w:rPr>
            <w:rFonts w:ascii="Times New Roman" w:hAnsi="Times New Roman" w:cs="Times New Roman"/>
            <w:sz w:val="24"/>
            <w:szCs w:val="24"/>
          </w:rPr>
          <w:fldChar w:fldCharType="end"/>
        </w:r>
      </w:p>
    </w:sdtContent>
  </w:sdt>
  <w:p w14:paraId="4556761F" w14:textId="77777777" w:rsidR="008342BB" w:rsidRPr="00FF7125" w:rsidRDefault="008342BB" w:rsidP="00054C41">
    <w:pPr>
      <w:pStyle w:val="Pta"/>
      <w:rPr>
        <w:sz w:val="24"/>
        <w:szCs w:val="24"/>
      </w:rPr>
    </w:pPr>
  </w:p>
  <w:p w14:paraId="20FE6A4A" w14:textId="77777777" w:rsidR="008342BB" w:rsidRDefault="008342BB">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DF769C" w14:textId="77777777" w:rsidR="00FF7A63" w:rsidRDefault="00FF7A63" w:rsidP="00054C41">
      <w:pPr>
        <w:spacing w:after="0" w:line="240" w:lineRule="auto"/>
      </w:pPr>
      <w:r>
        <w:separator/>
      </w:r>
    </w:p>
  </w:footnote>
  <w:footnote w:type="continuationSeparator" w:id="0">
    <w:p w14:paraId="597C940F" w14:textId="77777777" w:rsidR="00FF7A63" w:rsidRDefault="00FF7A63" w:rsidP="00054C41">
      <w:pPr>
        <w:spacing w:after="0" w:line="240" w:lineRule="auto"/>
      </w:pPr>
      <w:r>
        <w:continuationSeparator/>
      </w:r>
    </w:p>
  </w:footnote>
  <w:footnote w:id="1">
    <w:p w14:paraId="6CC680CB" w14:textId="6BF8CDC6" w:rsidR="008342BB" w:rsidRPr="000A6B7F" w:rsidRDefault="008342BB" w:rsidP="00C929AE">
      <w:pPr>
        <w:pStyle w:val="Textpoznmkypodiarou"/>
        <w:rPr>
          <w:rFonts w:ascii="Times New Roman" w:hAnsi="Times New Roman" w:cs="Times New Roman"/>
        </w:rPr>
      </w:pPr>
      <w:r>
        <w:rPr>
          <w:rStyle w:val="Odkaznapoznmkupodiarou"/>
        </w:rPr>
        <w:footnoteRef/>
      </w:r>
      <w:r>
        <w:t xml:space="preserve"> </w:t>
      </w:r>
      <w:r w:rsidRPr="000A6B7F">
        <w:rPr>
          <w:rFonts w:ascii="Times New Roman" w:hAnsi="Times New Roman" w:cs="Times New Roman"/>
        </w:rPr>
        <w:t xml:space="preserve">Definícia goldplatingu </w:t>
      </w:r>
      <w:r w:rsidRPr="00D114ED">
        <w:rPr>
          <w:rFonts w:ascii="Times New Roman" w:hAnsi="Times New Roman" w:cs="Times New Roman"/>
        </w:rPr>
        <w:t>je uvedená v bode 4 časti III. jednotnej metodiky.</w:t>
      </w:r>
    </w:p>
  </w:footnote>
  <w:footnote w:id="2">
    <w:p w14:paraId="1647D7DF" w14:textId="77777777" w:rsidR="008342BB" w:rsidRPr="00804BC8" w:rsidRDefault="008342BB" w:rsidP="00804BC8">
      <w:pPr>
        <w:pStyle w:val="Textpoznmkypodiarou"/>
        <w:jc w:val="both"/>
        <w:rPr>
          <w:rFonts w:ascii="Times New Roman" w:hAnsi="Times New Roman" w:cs="Times New Roman"/>
        </w:rPr>
      </w:pPr>
      <w:r w:rsidRPr="0099544D">
        <w:rPr>
          <w:rStyle w:val="Odkaznapoznmkupodiarou"/>
          <w:rFonts w:ascii="Times New Roman" w:hAnsi="Times New Roman" w:cs="Times New Roman"/>
        </w:rPr>
        <w:footnoteRef/>
      </w:r>
      <w:r w:rsidRPr="0099544D">
        <w:rPr>
          <w:rFonts w:ascii="Times New Roman" w:hAnsi="Times New Roman" w:cs="Times New Roman"/>
        </w:rPr>
        <w:t xml:space="preserve"> </w:t>
      </w:r>
      <w:r w:rsidRPr="00804BC8">
        <w:rPr>
          <w:rFonts w:ascii="Times New Roman" w:hAnsi="Times New Roman" w:cs="Times New Roman"/>
        </w:rPr>
        <w:t xml:space="preserve">Informácie sa uvádzajú  iba v prípade, ak sa predkladaným návrhom regulácie vykonáva transpozícia smernice </w:t>
      </w:r>
      <w:r w:rsidRPr="0099544D">
        <w:rPr>
          <w:rFonts w:ascii="Times New Roman" w:hAnsi="Times New Roman" w:cs="Times New Roman"/>
        </w:rPr>
        <w:t>EÚ</w:t>
      </w:r>
      <w:r w:rsidRPr="00804BC8">
        <w:rPr>
          <w:rFonts w:ascii="Times New Roman" w:hAnsi="Times New Roman" w:cs="Times New Roman"/>
        </w:rPr>
        <w:t xml:space="preserve"> a bol identifikovaný </w:t>
      </w:r>
      <w:proofErr w:type="spellStart"/>
      <w:r w:rsidRPr="00804BC8">
        <w:rPr>
          <w:rFonts w:ascii="Times New Roman" w:hAnsi="Times New Roman" w:cs="Times New Roman"/>
        </w:rPr>
        <w:t>goldplating</w:t>
      </w:r>
      <w:proofErr w:type="spellEnd"/>
      <w:r w:rsidRPr="00804BC8">
        <w:rPr>
          <w:rFonts w:ascii="Times New Roman" w:hAnsi="Times New Roman" w:cs="Times New Roman"/>
        </w:rPr>
        <w:t xml:space="preserve"> podľa tabuľky zhody alebo sa vykonáva implementácia nariadenia EÚ s </w:t>
      </w:r>
      <w:proofErr w:type="spellStart"/>
      <w:r w:rsidRPr="00804BC8">
        <w:rPr>
          <w:rFonts w:ascii="Times New Roman" w:hAnsi="Times New Roman" w:cs="Times New Roman"/>
        </w:rPr>
        <w:t>goldplatingom</w:t>
      </w:r>
      <w:proofErr w:type="spellEnd"/>
      <w:r w:rsidRPr="00804BC8">
        <w:rPr>
          <w:rFonts w:ascii="Times New Roman" w:hAnsi="Times New Roman" w:cs="Times New Roman"/>
        </w:rPr>
        <w:t>.</w:t>
      </w:r>
      <w:r>
        <w:rPr>
          <w:rFonts w:ascii="Times New Roman" w:hAnsi="Times New Roman" w:cs="Times New Roman"/>
        </w:rPr>
        <w:t xml:space="preserve"> Informácie sa uvádzajú aj v prípade</w:t>
      </w:r>
      <w:r w:rsidRPr="00CF4D09">
        <w:rPr>
          <w:rFonts w:ascii="Times New Roman" w:hAnsi="Times New Roman" w:cs="Times New Roman"/>
        </w:rPr>
        <w:t xml:space="preserve"> (ak nejde o transpozíciu smernice EÚ alebo implementáciu nariadenia EÚ)</w:t>
      </w:r>
      <w:r>
        <w:rPr>
          <w:rFonts w:ascii="Times New Roman" w:hAnsi="Times New Roman" w:cs="Times New Roman"/>
        </w:rPr>
        <w:t xml:space="preserve">, ak sa predloženým návrhom odstraňuje </w:t>
      </w:r>
      <w:proofErr w:type="spellStart"/>
      <w:r>
        <w:rPr>
          <w:rFonts w:ascii="Times New Roman" w:hAnsi="Times New Roman" w:cs="Times New Roman"/>
        </w:rPr>
        <w:t>goldplating</w:t>
      </w:r>
      <w:proofErr w:type="spellEnd"/>
      <w:r>
        <w:rPr>
          <w:rFonts w:ascii="Times New Roman" w:hAnsi="Times New Roman" w:cs="Times New Roman"/>
        </w:rPr>
        <w:t>, ktorého pôvod je v skoršom zachovaní existujúcej právnej úpravy (existujúcich vnútroštátnych požiadaviek).</w:t>
      </w:r>
    </w:p>
    <w:p w14:paraId="5D313DAF" w14:textId="77777777" w:rsidR="008342BB" w:rsidRDefault="008342BB" w:rsidP="00512BA7">
      <w:pPr>
        <w:pStyle w:val="Textpoznmkypodiarou"/>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9A226B"/>
    <w:multiLevelType w:val="multilevel"/>
    <w:tmpl w:val="FE3028BC"/>
    <w:lvl w:ilvl="0">
      <w:start w:val="1"/>
      <w:numFmt w:val="upperRoman"/>
      <w:lvlText w:val="%1."/>
      <w:lvlJc w:val="left"/>
      <w:pPr>
        <w:ind w:left="1080" w:hanging="720"/>
      </w:pPr>
      <w:rPr>
        <w:rFonts w:hint="default"/>
        <w:sz w:val="24"/>
      </w:rPr>
    </w:lvl>
    <w:lvl w:ilvl="1">
      <w:start w:val="1"/>
      <w:numFmt w:val="decimal"/>
      <w:isLgl/>
      <w:lvlText w:val="%1.%2."/>
      <w:lvlJc w:val="left"/>
      <w:pPr>
        <w:ind w:left="900" w:hanging="540"/>
      </w:pPr>
      <w:rPr>
        <w:rFonts w:hint="default"/>
        <w:b/>
      </w:rPr>
    </w:lvl>
    <w:lvl w:ilvl="2">
      <w:start w:val="3"/>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 w15:restartNumberingAfterBreak="0">
    <w:nsid w:val="0F264938"/>
    <w:multiLevelType w:val="hybridMultilevel"/>
    <w:tmpl w:val="D4EE60BE"/>
    <w:lvl w:ilvl="0" w:tplc="8A7E8B7E">
      <w:start w:val="12"/>
      <w:numFmt w:val="bullet"/>
      <w:suff w:val="space"/>
      <w:lvlText w:val="-"/>
      <w:lvlJc w:val="left"/>
      <w:pPr>
        <w:ind w:left="360" w:hanging="360"/>
      </w:pPr>
      <w:rPr>
        <w:rFonts w:ascii="Times New Roman" w:eastAsia="Calibri"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 w15:restartNumberingAfterBreak="0">
    <w:nsid w:val="16B66859"/>
    <w:multiLevelType w:val="hybridMultilevel"/>
    <w:tmpl w:val="6BFACF3E"/>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 w15:restartNumberingAfterBreak="0">
    <w:nsid w:val="175E2235"/>
    <w:multiLevelType w:val="hybridMultilevel"/>
    <w:tmpl w:val="93EC2C24"/>
    <w:lvl w:ilvl="0" w:tplc="041B0017">
      <w:start w:val="1"/>
      <w:numFmt w:val="lowerLetter"/>
      <w:lvlText w:val="%1)"/>
      <w:lvlJc w:val="left"/>
      <w:pPr>
        <w:ind w:left="720" w:hanging="360"/>
      </w:pPr>
    </w:lvl>
    <w:lvl w:ilvl="1" w:tplc="041B0019">
      <w:start w:val="1"/>
      <w:numFmt w:val="lowerLetter"/>
      <w:lvlText w:val="%2."/>
      <w:lvlJc w:val="left"/>
      <w:pPr>
        <w:ind w:left="1440" w:hanging="360"/>
      </w:pPr>
    </w:lvl>
    <w:lvl w:ilvl="2" w:tplc="041B001B">
      <w:start w:val="1"/>
      <w:numFmt w:val="lowerRoman"/>
      <w:lvlText w:val="%3."/>
      <w:lvlJc w:val="right"/>
      <w:pPr>
        <w:ind w:left="2160" w:hanging="180"/>
      </w:pPr>
    </w:lvl>
    <w:lvl w:ilvl="3" w:tplc="041B000F">
      <w:start w:val="1"/>
      <w:numFmt w:val="decimal"/>
      <w:lvlText w:val="%4."/>
      <w:lvlJc w:val="left"/>
      <w:pPr>
        <w:ind w:left="2880" w:hanging="360"/>
      </w:pPr>
    </w:lvl>
    <w:lvl w:ilvl="4" w:tplc="041B0019">
      <w:start w:val="1"/>
      <w:numFmt w:val="lowerLetter"/>
      <w:lvlText w:val="%5."/>
      <w:lvlJc w:val="left"/>
      <w:pPr>
        <w:ind w:left="3600" w:hanging="360"/>
      </w:pPr>
    </w:lvl>
    <w:lvl w:ilvl="5" w:tplc="041B001B">
      <w:start w:val="1"/>
      <w:numFmt w:val="lowerRoman"/>
      <w:lvlText w:val="%6."/>
      <w:lvlJc w:val="right"/>
      <w:pPr>
        <w:ind w:left="4320" w:hanging="180"/>
      </w:pPr>
    </w:lvl>
    <w:lvl w:ilvl="6" w:tplc="041B000F">
      <w:start w:val="1"/>
      <w:numFmt w:val="decimal"/>
      <w:lvlText w:val="%7."/>
      <w:lvlJc w:val="left"/>
      <w:pPr>
        <w:ind w:left="5040" w:hanging="360"/>
      </w:pPr>
    </w:lvl>
    <w:lvl w:ilvl="7" w:tplc="041B0019">
      <w:start w:val="1"/>
      <w:numFmt w:val="lowerLetter"/>
      <w:lvlText w:val="%8."/>
      <w:lvlJc w:val="left"/>
      <w:pPr>
        <w:ind w:left="5760" w:hanging="360"/>
      </w:pPr>
    </w:lvl>
    <w:lvl w:ilvl="8" w:tplc="041B001B">
      <w:start w:val="1"/>
      <w:numFmt w:val="lowerRoman"/>
      <w:lvlText w:val="%9."/>
      <w:lvlJc w:val="right"/>
      <w:pPr>
        <w:ind w:left="6480" w:hanging="180"/>
      </w:pPr>
    </w:lvl>
  </w:abstractNum>
  <w:abstractNum w:abstractNumId="4" w15:restartNumberingAfterBreak="0">
    <w:nsid w:val="1F982F49"/>
    <w:multiLevelType w:val="hybridMultilevel"/>
    <w:tmpl w:val="22E4D50E"/>
    <w:lvl w:ilvl="0" w:tplc="FFFFFFFF">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 w15:restartNumberingAfterBreak="0">
    <w:nsid w:val="449B4294"/>
    <w:multiLevelType w:val="hybridMultilevel"/>
    <w:tmpl w:val="DB90B4D4"/>
    <w:lvl w:ilvl="0" w:tplc="A80C46B4">
      <w:start w:val="3"/>
      <w:numFmt w:val="bullet"/>
      <w:lvlText w:val="-"/>
      <w:lvlJc w:val="left"/>
      <w:pPr>
        <w:ind w:left="720" w:hanging="360"/>
      </w:pPr>
      <w:rPr>
        <w:rFonts w:ascii="Times New Roman" w:eastAsia="Calibri" w:hAnsi="Times New Roman" w:cs="Times New Roman" w:hint="default"/>
        <w:b/>
        <w:i w:val="0"/>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6" w15:restartNumberingAfterBreak="0">
    <w:nsid w:val="4F361D3F"/>
    <w:multiLevelType w:val="hybridMultilevel"/>
    <w:tmpl w:val="5BC05082"/>
    <w:lvl w:ilvl="0" w:tplc="4F805708">
      <w:start w:val="12"/>
      <w:numFmt w:val="bullet"/>
      <w:lvlText w:val="-"/>
      <w:lvlJc w:val="left"/>
      <w:pPr>
        <w:ind w:left="720" w:hanging="360"/>
      </w:pPr>
      <w:rPr>
        <w:rFonts w:ascii="Times New Roman" w:eastAsia="Calibri"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7" w15:restartNumberingAfterBreak="0">
    <w:nsid w:val="59F7276D"/>
    <w:multiLevelType w:val="hybridMultilevel"/>
    <w:tmpl w:val="50AE822E"/>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8" w15:restartNumberingAfterBreak="0">
    <w:nsid w:val="5AC45921"/>
    <w:multiLevelType w:val="hybridMultilevel"/>
    <w:tmpl w:val="15C4862A"/>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 w15:restartNumberingAfterBreak="0">
    <w:nsid w:val="6D21570F"/>
    <w:multiLevelType w:val="hybridMultilevel"/>
    <w:tmpl w:val="22E4D50E"/>
    <w:lvl w:ilvl="0" w:tplc="FFFFFFFF">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 w15:restartNumberingAfterBreak="0">
    <w:nsid w:val="6F252805"/>
    <w:multiLevelType w:val="multilevel"/>
    <w:tmpl w:val="FE3028BC"/>
    <w:lvl w:ilvl="0">
      <w:start w:val="1"/>
      <w:numFmt w:val="upperRoman"/>
      <w:lvlText w:val="%1."/>
      <w:lvlJc w:val="left"/>
      <w:pPr>
        <w:ind w:left="1080" w:hanging="720"/>
      </w:pPr>
      <w:rPr>
        <w:rFonts w:hint="default"/>
        <w:sz w:val="24"/>
      </w:rPr>
    </w:lvl>
    <w:lvl w:ilvl="1">
      <w:start w:val="1"/>
      <w:numFmt w:val="decimal"/>
      <w:isLgl/>
      <w:lvlText w:val="%1.%2."/>
      <w:lvlJc w:val="left"/>
      <w:pPr>
        <w:ind w:left="900" w:hanging="540"/>
      </w:pPr>
      <w:rPr>
        <w:rFonts w:hint="default"/>
        <w:b/>
      </w:rPr>
    </w:lvl>
    <w:lvl w:ilvl="2">
      <w:start w:val="3"/>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1" w15:restartNumberingAfterBreak="0">
    <w:nsid w:val="6F5B3E74"/>
    <w:multiLevelType w:val="hybridMultilevel"/>
    <w:tmpl w:val="F49CA46A"/>
    <w:lvl w:ilvl="0" w:tplc="0DF4C5C4">
      <w:start w:val="1"/>
      <w:numFmt w:val="bullet"/>
      <w:lvlText w:val="-"/>
      <w:lvlJc w:val="left"/>
      <w:pPr>
        <w:ind w:left="720" w:hanging="360"/>
      </w:pPr>
      <w:rPr>
        <w:rFonts w:ascii="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2" w15:restartNumberingAfterBreak="0">
    <w:nsid w:val="70BB77D5"/>
    <w:multiLevelType w:val="hybridMultilevel"/>
    <w:tmpl w:val="F7CE6636"/>
    <w:lvl w:ilvl="0" w:tplc="041B0001">
      <w:start w:val="1"/>
      <w:numFmt w:val="bullet"/>
      <w:lvlText w:val=""/>
      <w:lvlJc w:val="left"/>
      <w:pPr>
        <w:ind w:left="1080" w:hanging="360"/>
      </w:pPr>
      <w:rPr>
        <w:rFonts w:ascii="Symbol" w:hAnsi="Symbol" w:hint="default"/>
      </w:rPr>
    </w:lvl>
    <w:lvl w:ilvl="1" w:tplc="041B0003" w:tentative="1">
      <w:start w:val="1"/>
      <w:numFmt w:val="bullet"/>
      <w:lvlText w:val="o"/>
      <w:lvlJc w:val="left"/>
      <w:pPr>
        <w:ind w:left="1800" w:hanging="360"/>
      </w:pPr>
      <w:rPr>
        <w:rFonts w:ascii="Courier New" w:hAnsi="Courier New" w:cs="Courier New" w:hint="default"/>
      </w:rPr>
    </w:lvl>
    <w:lvl w:ilvl="2" w:tplc="041B0005" w:tentative="1">
      <w:start w:val="1"/>
      <w:numFmt w:val="bullet"/>
      <w:lvlText w:val=""/>
      <w:lvlJc w:val="left"/>
      <w:pPr>
        <w:ind w:left="2520" w:hanging="360"/>
      </w:pPr>
      <w:rPr>
        <w:rFonts w:ascii="Wingdings" w:hAnsi="Wingdings" w:hint="default"/>
      </w:rPr>
    </w:lvl>
    <w:lvl w:ilvl="3" w:tplc="041B0001" w:tentative="1">
      <w:start w:val="1"/>
      <w:numFmt w:val="bullet"/>
      <w:lvlText w:val=""/>
      <w:lvlJc w:val="left"/>
      <w:pPr>
        <w:ind w:left="3240" w:hanging="360"/>
      </w:pPr>
      <w:rPr>
        <w:rFonts w:ascii="Symbol" w:hAnsi="Symbol" w:hint="default"/>
      </w:rPr>
    </w:lvl>
    <w:lvl w:ilvl="4" w:tplc="041B0003" w:tentative="1">
      <w:start w:val="1"/>
      <w:numFmt w:val="bullet"/>
      <w:lvlText w:val="o"/>
      <w:lvlJc w:val="left"/>
      <w:pPr>
        <w:ind w:left="3960" w:hanging="360"/>
      </w:pPr>
      <w:rPr>
        <w:rFonts w:ascii="Courier New" w:hAnsi="Courier New" w:cs="Courier New" w:hint="default"/>
      </w:rPr>
    </w:lvl>
    <w:lvl w:ilvl="5" w:tplc="041B0005" w:tentative="1">
      <w:start w:val="1"/>
      <w:numFmt w:val="bullet"/>
      <w:lvlText w:val=""/>
      <w:lvlJc w:val="left"/>
      <w:pPr>
        <w:ind w:left="4680" w:hanging="360"/>
      </w:pPr>
      <w:rPr>
        <w:rFonts w:ascii="Wingdings" w:hAnsi="Wingdings" w:hint="default"/>
      </w:rPr>
    </w:lvl>
    <w:lvl w:ilvl="6" w:tplc="041B0001" w:tentative="1">
      <w:start w:val="1"/>
      <w:numFmt w:val="bullet"/>
      <w:lvlText w:val=""/>
      <w:lvlJc w:val="left"/>
      <w:pPr>
        <w:ind w:left="5400" w:hanging="360"/>
      </w:pPr>
      <w:rPr>
        <w:rFonts w:ascii="Symbol" w:hAnsi="Symbol" w:hint="default"/>
      </w:rPr>
    </w:lvl>
    <w:lvl w:ilvl="7" w:tplc="041B0003" w:tentative="1">
      <w:start w:val="1"/>
      <w:numFmt w:val="bullet"/>
      <w:lvlText w:val="o"/>
      <w:lvlJc w:val="left"/>
      <w:pPr>
        <w:ind w:left="6120" w:hanging="360"/>
      </w:pPr>
      <w:rPr>
        <w:rFonts w:ascii="Courier New" w:hAnsi="Courier New" w:cs="Courier New" w:hint="default"/>
      </w:rPr>
    </w:lvl>
    <w:lvl w:ilvl="8" w:tplc="041B0005" w:tentative="1">
      <w:start w:val="1"/>
      <w:numFmt w:val="bullet"/>
      <w:lvlText w:val=""/>
      <w:lvlJc w:val="left"/>
      <w:pPr>
        <w:ind w:left="6840" w:hanging="360"/>
      </w:pPr>
      <w:rPr>
        <w:rFonts w:ascii="Wingdings" w:hAnsi="Wingdings" w:hint="default"/>
      </w:rPr>
    </w:lvl>
  </w:abstractNum>
  <w:abstractNum w:abstractNumId="13" w15:restartNumberingAfterBreak="0">
    <w:nsid w:val="736C4BD0"/>
    <w:multiLevelType w:val="hybridMultilevel"/>
    <w:tmpl w:val="5AD88732"/>
    <w:lvl w:ilvl="0" w:tplc="3E049D20">
      <w:numFmt w:val="bullet"/>
      <w:lvlText w:val="-"/>
      <w:lvlJc w:val="left"/>
      <w:pPr>
        <w:ind w:left="720" w:hanging="360"/>
      </w:pPr>
      <w:rPr>
        <w:rFonts w:ascii="Times New Roman" w:eastAsiaTheme="minorHAnsi"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4" w15:restartNumberingAfterBreak="0">
    <w:nsid w:val="76FD0C6E"/>
    <w:multiLevelType w:val="multilevel"/>
    <w:tmpl w:val="FE3028BC"/>
    <w:lvl w:ilvl="0">
      <w:start w:val="1"/>
      <w:numFmt w:val="upperRoman"/>
      <w:lvlText w:val="%1."/>
      <w:lvlJc w:val="left"/>
      <w:pPr>
        <w:ind w:left="1080" w:hanging="720"/>
      </w:pPr>
      <w:rPr>
        <w:rFonts w:hint="default"/>
        <w:sz w:val="24"/>
      </w:rPr>
    </w:lvl>
    <w:lvl w:ilvl="1">
      <w:start w:val="1"/>
      <w:numFmt w:val="decimal"/>
      <w:isLgl/>
      <w:lvlText w:val="%1.%2."/>
      <w:lvlJc w:val="left"/>
      <w:pPr>
        <w:ind w:left="900" w:hanging="540"/>
      </w:pPr>
      <w:rPr>
        <w:rFonts w:hint="default"/>
        <w:b/>
      </w:rPr>
    </w:lvl>
    <w:lvl w:ilvl="2">
      <w:start w:val="3"/>
      <w:numFmt w:val="decimal"/>
      <w:isLgl/>
      <w:lvlText w:val="%1.%2.%3."/>
      <w:lvlJc w:val="left"/>
      <w:pPr>
        <w:ind w:left="1145"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num w:numId="1">
    <w:abstractNumId w:val="2"/>
  </w:num>
  <w:num w:numId="2">
    <w:abstractNumId w:val="12"/>
  </w:num>
  <w:num w:numId="3">
    <w:abstractNumId w:val="13"/>
  </w:num>
  <w:num w:numId="4">
    <w:abstractNumId w:val="10"/>
  </w:num>
  <w:num w:numId="5">
    <w:abstractNumId w:val="8"/>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4"/>
  </w:num>
  <w:num w:numId="11">
    <w:abstractNumId w:val="5"/>
  </w:num>
  <w:num w:numId="12">
    <w:abstractNumId w:val="0"/>
  </w:num>
  <w:num w:numId="13">
    <w:abstractNumId w:val="14"/>
  </w:num>
  <w:num w:numId="14">
    <w:abstractNumId w:val="7"/>
  </w:num>
  <w:num w:numId="15">
    <w:abstractNumId w:val="6"/>
  </w:num>
  <w:num w:numId="16">
    <w:abstractNumId w:val="1"/>
  </w:num>
  <w:num w:numId="17">
    <w:abstractNumId w:val="1"/>
  </w:num>
  <w:num w:numId="1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3"/>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4C41"/>
    <w:rsid w:val="00005281"/>
    <w:rsid w:val="00005BC9"/>
    <w:rsid w:val="000061A3"/>
    <w:rsid w:val="00014B0D"/>
    <w:rsid w:val="0002425A"/>
    <w:rsid w:val="00024EE4"/>
    <w:rsid w:val="000272CE"/>
    <w:rsid w:val="00031CA9"/>
    <w:rsid w:val="00032C2E"/>
    <w:rsid w:val="0003695E"/>
    <w:rsid w:val="000417B5"/>
    <w:rsid w:val="00047C70"/>
    <w:rsid w:val="00050AAB"/>
    <w:rsid w:val="000537FB"/>
    <w:rsid w:val="00054A53"/>
    <w:rsid w:val="00054C41"/>
    <w:rsid w:val="00060A0C"/>
    <w:rsid w:val="00060DA1"/>
    <w:rsid w:val="00061E85"/>
    <w:rsid w:val="00080C8A"/>
    <w:rsid w:val="000820E0"/>
    <w:rsid w:val="000864E0"/>
    <w:rsid w:val="00091A43"/>
    <w:rsid w:val="0009490E"/>
    <w:rsid w:val="000A6B7F"/>
    <w:rsid w:val="000B13B0"/>
    <w:rsid w:val="000B5FA7"/>
    <w:rsid w:val="000B5FE6"/>
    <w:rsid w:val="000C5419"/>
    <w:rsid w:val="000C5E9A"/>
    <w:rsid w:val="000D15F0"/>
    <w:rsid w:val="0011003B"/>
    <w:rsid w:val="001133DA"/>
    <w:rsid w:val="001143FF"/>
    <w:rsid w:val="00115920"/>
    <w:rsid w:val="00126A2B"/>
    <w:rsid w:val="00142154"/>
    <w:rsid w:val="00147339"/>
    <w:rsid w:val="001476A4"/>
    <w:rsid w:val="00151ECF"/>
    <w:rsid w:val="00153C7D"/>
    <w:rsid w:val="00153FCC"/>
    <w:rsid w:val="00162C6C"/>
    <w:rsid w:val="00164E4F"/>
    <w:rsid w:val="0016512E"/>
    <w:rsid w:val="00173665"/>
    <w:rsid w:val="0018715C"/>
    <w:rsid w:val="001A1561"/>
    <w:rsid w:val="001B4C03"/>
    <w:rsid w:val="001B79A2"/>
    <w:rsid w:val="001C05DF"/>
    <w:rsid w:val="001C7331"/>
    <w:rsid w:val="001C7B91"/>
    <w:rsid w:val="001D1083"/>
    <w:rsid w:val="001D217E"/>
    <w:rsid w:val="001D3FA0"/>
    <w:rsid w:val="001D6F23"/>
    <w:rsid w:val="001E24E8"/>
    <w:rsid w:val="001E53CB"/>
    <w:rsid w:val="001F1B8C"/>
    <w:rsid w:val="001F2E75"/>
    <w:rsid w:val="0020065D"/>
    <w:rsid w:val="00201E46"/>
    <w:rsid w:val="00207F43"/>
    <w:rsid w:val="002232D3"/>
    <w:rsid w:val="00225A83"/>
    <w:rsid w:val="00231B8F"/>
    <w:rsid w:val="00240844"/>
    <w:rsid w:val="00245502"/>
    <w:rsid w:val="00255397"/>
    <w:rsid w:val="00267EEE"/>
    <w:rsid w:val="00270EA5"/>
    <w:rsid w:val="002712B9"/>
    <w:rsid w:val="002745E8"/>
    <w:rsid w:val="0028092E"/>
    <w:rsid w:val="00284B8C"/>
    <w:rsid w:val="00287EE6"/>
    <w:rsid w:val="00293B63"/>
    <w:rsid w:val="0029483F"/>
    <w:rsid w:val="002A6716"/>
    <w:rsid w:val="002C2FC0"/>
    <w:rsid w:val="002E5F3C"/>
    <w:rsid w:val="00301AA8"/>
    <w:rsid w:val="00302A17"/>
    <w:rsid w:val="00310767"/>
    <w:rsid w:val="00314D25"/>
    <w:rsid w:val="00315BE2"/>
    <w:rsid w:val="003179F4"/>
    <w:rsid w:val="00325DA2"/>
    <w:rsid w:val="003322EE"/>
    <w:rsid w:val="00332B19"/>
    <w:rsid w:val="00337152"/>
    <w:rsid w:val="00337630"/>
    <w:rsid w:val="00340CFD"/>
    <w:rsid w:val="003413D5"/>
    <w:rsid w:val="00342621"/>
    <w:rsid w:val="003513C4"/>
    <w:rsid w:val="00356381"/>
    <w:rsid w:val="00357F22"/>
    <w:rsid w:val="00363137"/>
    <w:rsid w:val="003669B9"/>
    <w:rsid w:val="0036748D"/>
    <w:rsid w:val="00376039"/>
    <w:rsid w:val="00377568"/>
    <w:rsid w:val="0038255E"/>
    <w:rsid w:val="00391648"/>
    <w:rsid w:val="0039304E"/>
    <w:rsid w:val="0039334E"/>
    <w:rsid w:val="00393BA0"/>
    <w:rsid w:val="00394AD2"/>
    <w:rsid w:val="003A02AF"/>
    <w:rsid w:val="003A2ADC"/>
    <w:rsid w:val="003A3124"/>
    <w:rsid w:val="003A686F"/>
    <w:rsid w:val="003B754C"/>
    <w:rsid w:val="003C1848"/>
    <w:rsid w:val="003E58B8"/>
    <w:rsid w:val="003F06D7"/>
    <w:rsid w:val="003F754E"/>
    <w:rsid w:val="00400224"/>
    <w:rsid w:val="00400BA5"/>
    <w:rsid w:val="004052BB"/>
    <w:rsid w:val="00410E62"/>
    <w:rsid w:val="00414FA7"/>
    <w:rsid w:val="00420090"/>
    <w:rsid w:val="004239D1"/>
    <w:rsid w:val="00443931"/>
    <w:rsid w:val="00445638"/>
    <w:rsid w:val="00445AC4"/>
    <w:rsid w:val="00446432"/>
    <w:rsid w:val="00446512"/>
    <w:rsid w:val="00453873"/>
    <w:rsid w:val="004545B5"/>
    <w:rsid w:val="004553A1"/>
    <w:rsid w:val="00462048"/>
    <w:rsid w:val="00466D7A"/>
    <w:rsid w:val="0048237B"/>
    <w:rsid w:val="004826D1"/>
    <w:rsid w:val="00484D16"/>
    <w:rsid w:val="004851A4"/>
    <w:rsid w:val="0048619C"/>
    <w:rsid w:val="004862B9"/>
    <w:rsid w:val="00491853"/>
    <w:rsid w:val="00492E66"/>
    <w:rsid w:val="004948C9"/>
    <w:rsid w:val="00497B4D"/>
    <w:rsid w:val="004A14CD"/>
    <w:rsid w:val="004A1DE0"/>
    <w:rsid w:val="004A2C6B"/>
    <w:rsid w:val="004B0EB5"/>
    <w:rsid w:val="004B101A"/>
    <w:rsid w:val="004B27EA"/>
    <w:rsid w:val="004C119F"/>
    <w:rsid w:val="004C2F7F"/>
    <w:rsid w:val="004C469A"/>
    <w:rsid w:val="004D20CB"/>
    <w:rsid w:val="004D23FF"/>
    <w:rsid w:val="004D26B2"/>
    <w:rsid w:val="004D65B2"/>
    <w:rsid w:val="004D681D"/>
    <w:rsid w:val="004E04CC"/>
    <w:rsid w:val="004E2324"/>
    <w:rsid w:val="004F0A17"/>
    <w:rsid w:val="004F63E6"/>
    <w:rsid w:val="00503501"/>
    <w:rsid w:val="005103DA"/>
    <w:rsid w:val="00511F8F"/>
    <w:rsid w:val="00512BA7"/>
    <w:rsid w:val="005133A8"/>
    <w:rsid w:val="0051372E"/>
    <w:rsid w:val="00515726"/>
    <w:rsid w:val="00521521"/>
    <w:rsid w:val="00531913"/>
    <w:rsid w:val="00542C20"/>
    <w:rsid w:val="00562527"/>
    <w:rsid w:val="00562A1E"/>
    <w:rsid w:val="00563427"/>
    <w:rsid w:val="00581EB9"/>
    <w:rsid w:val="005838FB"/>
    <w:rsid w:val="005946A0"/>
    <w:rsid w:val="00596A5A"/>
    <w:rsid w:val="005B4E6E"/>
    <w:rsid w:val="005B56E4"/>
    <w:rsid w:val="005B654F"/>
    <w:rsid w:val="005C299F"/>
    <w:rsid w:val="005C4C6E"/>
    <w:rsid w:val="005C795C"/>
    <w:rsid w:val="005D0E50"/>
    <w:rsid w:val="005D39D8"/>
    <w:rsid w:val="006029A8"/>
    <w:rsid w:val="00602F45"/>
    <w:rsid w:val="0061097B"/>
    <w:rsid w:val="0061612F"/>
    <w:rsid w:val="006177C8"/>
    <w:rsid w:val="0062600A"/>
    <w:rsid w:val="0063777D"/>
    <w:rsid w:val="00643358"/>
    <w:rsid w:val="00646084"/>
    <w:rsid w:val="006564C3"/>
    <w:rsid w:val="006578CB"/>
    <w:rsid w:val="00661198"/>
    <w:rsid w:val="00685545"/>
    <w:rsid w:val="0069039E"/>
    <w:rsid w:val="006A4E85"/>
    <w:rsid w:val="006A60C0"/>
    <w:rsid w:val="006A712F"/>
    <w:rsid w:val="006A7294"/>
    <w:rsid w:val="006B1454"/>
    <w:rsid w:val="006B5D74"/>
    <w:rsid w:val="006C25BE"/>
    <w:rsid w:val="006D4FAF"/>
    <w:rsid w:val="006D7590"/>
    <w:rsid w:val="006D7AD8"/>
    <w:rsid w:val="006F1D57"/>
    <w:rsid w:val="006F3BA3"/>
    <w:rsid w:val="00702815"/>
    <w:rsid w:val="0070364C"/>
    <w:rsid w:val="00705E99"/>
    <w:rsid w:val="00710EDF"/>
    <w:rsid w:val="00711E81"/>
    <w:rsid w:val="007161E9"/>
    <w:rsid w:val="0072045E"/>
    <w:rsid w:val="0072221D"/>
    <w:rsid w:val="0072357C"/>
    <w:rsid w:val="007259CB"/>
    <w:rsid w:val="00726031"/>
    <w:rsid w:val="007446F3"/>
    <w:rsid w:val="00751DA9"/>
    <w:rsid w:val="00755E69"/>
    <w:rsid w:val="007563F7"/>
    <w:rsid w:val="007648EE"/>
    <w:rsid w:val="00766EF4"/>
    <w:rsid w:val="0077106D"/>
    <w:rsid w:val="007732AF"/>
    <w:rsid w:val="00773D77"/>
    <w:rsid w:val="00774E5F"/>
    <w:rsid w:val="00780ACC"/>
    <w:rsid w:val="0078666B"/>
    <w:rsid w:val="00787A11"/>
    <w:rsid w:val="00792EC2"/>
    <w:rsid w:val="0079765B"/>
    <w:rsid w:val="00797B40"/>
    <w:rsid w:val="007A0C9D"/>
    <w:rsid w:val="007A4A3E"/>
    <w:rsid w:val="007B0C81"/>
    <w:rsid w:val="007B40FB"/>
    <w:rsid w:val="007B62AF"/>
    <w:rsid w:val="007D1DB0"/>
    <w:rsid w:val="007E24B2"/>
    <w:rsid w:val="007E2DA4"/>
    <w:rsid w:val="007E6815"/>
    <w:rsid w:val="007E7632"/>
    <w:rsid w:val="007F1C84"/>
    <w:rsid w:val="007F4579"/>
    <w:rsid w:val="00801596"/>
    <w:rsid w:val="00804BC8"/>
    <w:rsid w:val="008058EE"/>
    <w:rsid w:val="00806E23"/>
    <w:rsid w:val="00807981"/>
    <w:rsid w:val="00812B42"/>
    <w:rsid w:val="00823F5A"/>
    <w:rsid w:val="00832A30"/>
    <w:rsid w:val="008342BB"/>
    <w:rsid w:val="00845D3B"/>
    <w:rsid w:val="00860A60"/>
    <w:rsid w:val="008634E9"/>
    <w:rsid w:val="00863D90"/>
    <w:rsid w:val="00872F48"/>
    <w:rsid w:val="008801B5"/>
    <w:rsid w:val="00880578"/>
    <w:rsid w:val="00882407"/>
    <w:rsid w:val="008920C3"/>
    <w:rsid w:val="00894052"/>
    <w:rsid w:val="008956D5"/>
    <w:rsid w:val="008A14ED"/>
    <w:rsid w:val="008A7B87"/>
    <w:rsid w:val="008B4AA1"/>
    <w:rsid w:val="008C1C71"/>
    <w:rsid w:val="008C64F1"/>
    <w:rsid w:val="008C7800"/>
    <w:rsid w:val="008D0ABB"/>
    <w:rsid w:val="008E1AD0"/>
    <w:rsid w:val="008E315F"/>
    <w:rsid w:val="008E6B82"/>
    <w:rsid w:val="008F6ADE"/>
    <w:rsid w:val="0091269B"/>
    <w:rsid w:val="00920D1C"/>
    <w:rsid w:val="00923C0C"/>
    <w:rsid w:val="00925B39"/>
    <w:rsid w:val="00933AFA"/>
    <w:rsid w:val="00943268"/>
    <w:rsid w:val="0095170D"/>
    <w:rsid w:val="00952CF6"/>
    <w:rsid w:val="0095754E"/>
    <w:rsid w:val="00960413"/>
    <w:rsid w:val="00964D0F"/>
    <w:rsid w:val="00965670"/>
    <w:rsid w:val="00965F03"/>
    <w:rsid w:val="00981995"/>
    <w:rsid w:val="00981C7F"/>
    <w:rsid w:val="00984946"/>
    <w:rsid w:val="00985515"/>
    <w:rsid w:val="00990813"/>
    <w:rsid w:val="00993F0A"/>
    <w:rsid w:val="0099544D"/>
    <w:rsid w:val="00997513"/>
    <w:rsid w:val="009A0103"/>
    <w:rsid w:val="009A0426"/>
    <w:rsid w:val="009A053B"/>
    <w:rsid w:val="009A0E2C"/>
    <w:rsid w:val="009A3518"/>
    <w:rsid w:val="009A4D56"/>
    <w:rsid w:val="009B1F04"/>
    <w:rsid w:val="009C72F4"/>
    <w:rsid w:val="009D6DCC"/>
    <w:rsid w:val="009E09F7"/>
    <w:rsid w:val="009E2D5C"/>
    <w:rsid w:val="009E3E44"/>
    <w:rsid w:val="009E628E"/>
    <w:rsid w:val="009F0C22"/>
    <w:rsid w:val="009F24B1"/>
    <w:rsid w:val="009F4175"/>
    <w:rsid w:val="009F66A4"/>
    <w:rsid w:val="009F6C80"/>
    <w:rsid w:val="00A000DA"/>
    <w:rsid w:val="00A07732"/>
    <w:rsid w:val="00A1176A"/>
    <w:rsid w:val="00A1736E"/>
    <w:rsid w:val="00A216DF"/>
    <w:rsid w:val="00A33F2C"/>
    <w:rsid w:val="00A50EE3"/>
    <w:rsid w:val="00A61BAA"/>
    <w:rsid w:val="00A62F38"/>
    <w:rsid w:val="00A63309"/>
    <w:rsid w:val="00A83E11"/>
    <w:rsid w:val="00A948AC"/>
    <w:rsid w:val="00A94A0F"/>
    <w:rsid w:val="00A9646E"/>
    <w:rsid w:val="00AA3C6D"/>
    <w:rsid w:val="00AB4990"/>
    <w:rsid w:val="00AB57C4"/>
    <w:rsid w:val="00AC6043"/>
    <w:rsid w:val="00AD7193"/>
    <w:rsid w:val="00AF10DA"/>
    <w:rsid w:val="00B01E8A"/>
    <w:rsid w:val="00B034CA"/>
    <w:rsid w:val="00B04E51"/>
    <w:rsid w:val="00B06B82"/>
    <w:rsid w:val="00B11CF5"/>
    <w:rsid w:val="00B209FA"/>
    <w:rsid w:val="00B21D1F"/>
    <w:rsid w:val="00B23654"/>
    <w:rsid w:val="00B24EFE"/>
    <w:rsid w:val="00B30BF7"/>
    <w:rsid w:val="00B35C77"/>
    <w:rsid w:val="00B410BA"/>
    <w:rsid w:val="00B42D60"/>
    <w:rsid w:val="00B43D68"/>
    <w:rsid w:val="00B44A3A"/>
    <w:rsid w:val="00B5600C"/>
    <w:rsid w:val="00B6686C"/>
    <w:rsid w:val="00B66E33"/>
    <w:rsid w:val="00B72FB1"/>
    <w:rsid w:val="00B94330"/>
    <w:rsid w:val="00B953DA"/>
    <w:rsid w:val="00B963D1"/>
    <w:rsid w:val="00BA02E3"/>
    <w:rsid w:val="00BA19B0"/>
    <w:rsid w:val="00BB2880"/>
    <w:rsid w:val="00BB3870"/>
    <w:rsid w:val="00BB45A7"/>
    <w:rsid w:val="00BC2D9C"/>
    <w:rsid w:val="00BD0EF7"/>
    <w:rsid w:val="00BD6778"/>
    <w:rsid w:val="00BE11E1"/>
    <w:rsid w:val="00C01599"/>
    <w:rsid w:val="00C048D1"/>
    <w:rsid w:val="00C05563"/>
    <w:rsid w:val="00C11132"/>
    <w:rsid w:val="00C115B9"/>
    <w:rsid w:val="00C123A6"/>
    <w:rsid w:val="00C12FDD"/>
    <w:rsid w:val="00C145AA"/>
    <w:rsid w:val="00C14655"/>
    <w:rsid w:val="00C20360"/>
    <w:rsid w:val="00C21399"/>
    <w:rsid w:val="00C26D49"/>
    <w:rsid w:val="00C276B8"/>
    <w:rsid w:val="00C446E2"/>
    <w:rsid w:val="00C52118"/>
    <w:rsid w:val="00C535F5"/>
    <w:rsid w:val="00C560C4"/>
    <w:rsid w:val="00C61B25"/>
    <w:rsid w:val="00C6748F"/>
    <w:rsid w:val="00C74337"/>
    <w:rsid w:val="00C75DC8"/>
    <w:rsid w:val="00C90897"/>
    <w:rsid w:val="00C929AE"/>
    <w:rsid w:val="00CA4344"/>
    <w:rsid w:val="00CA6348"/>
    <w:rsid w:val="00CA6372"/>
    <w:rsid w:val="00CB074B"/>
    <w:rsid w:val="00CB1232"/>
    <w:rsid w:val="00CB17A0"/>
    <w:rsid w:val="00CC0D1D"/>
    <w:rsid w:val="00CC3B7D"/>
    <w:rsid w:val="00CD5AE4"/>
    <w:rsid w:val="00CD5E86"/>
    <w:rsid w:val="00CE3B21"/>
    <w:rsid w:val="00CE3E51"/>
    <w:rsid w:val="00CF0C86"/>
    <w:rsid w:val="00CF1B43"/>
    <w:rsid w:val="00CF4D09"/>
    <w:rsid w:val="00D005F2"/>
    <w:rsid w:val="00D020AC"/>
    <w:rsid w:val="00D03A8E"/>
    <w:rsid w:val="00D04B3F"/>
    <w:rsid w:val="00D114ED"/>
    <w:rsid w:val="00D233DC"/>
    <w:rsid w:val="00D3032C"/>
    <w:rsid w:val="00D3068D"/>
    <w:rsid w:val="00D31A3B"/>
    <w:rsid w:val="00D34349"/>
    <w:rsid w:val="00D5309D"/>
    <w:rsid w:val="00D631FA"/>
    <w:rsid w:val="00D66EFD"/>
    <w:rsid w:val="00D71064"/>
    <w:rsid w:val="00D7273B"/>
    <w:rsid w:val="00D75BBD"/>
    <w:rsid w:val="00D76A4C"/>
    <w:rsid w:val="00D76C20"/>
    <w:rsid w:val="00D811BB"/>
    <w:rsid w:val="00D82356"/>
    <w:rsid w:val="00D84EEE"/>
    <w:rsid w:val="00D87FD0"/>
    <w:rsid w:val="00D90A61"/>
    <w:rsid w:val="00D946EF"/>
    <w:rsid w:val="00D95553"/>
    <w:rsid w:val="00D969F0"/>
    <w:rsid w:val="00DA2289"/>
    <w:rsid w:val="00DA7A6D"/>
    <w:rsid w:val="00DB60C0"/>
    <w:rsid w:val="00DB758E"/>
    <w:rsid w:val="00DC355F"/>
    <w:rsid w:val="00DD1E4C"/>
    <w:rsid w:val="00DE331A"/>
    <w:rsid w:val="00DE33E1"/>
    <w:rsid w:val="00DE6ACB"/>
    <w:rsid w:val="00DF02CE"/>
    <w:rsid w:val="00DF1462"/>
    <w:rsid w:val="00E030DA"/>
    <w:rsid w:val="00E04593"/>
    <w:rsid w:val="00E06882"/>
    <w:rsid w:val="00E11BE2"/>
    <w:rsid w:val="00E15680"/>
    <w:rsid w:val="00E15FD3"/>
    <w:rsid w:val="00E214C0"/>
    <w:rsid w:val="00E23930"/>
    <w:rsid w:val="00E30D85"/>
    <w:rsid w:val="00E370CF"/>
    <w:rsid w:val="00E422DA"/>
    <w:rsid w:val="00E444EB"/>
    <w:rsid w:val="00E47467"/>
    <w:rsid w:val="00E60D46"/>
    <w:rsid w:val="00E64E77"/>
    <w:rsid w:val="00E76930"/>
    <w:rsid w:val="00E769E1"/>
    <w:rsid w:val="00E77A69"/>
    <w:rsid w:val="00E81A42"/>
    <w:rsid w:val="00E82B5A"/>
    <w:rsid w:val="00E92A89"/>
    <w:rsid w:val="00E92DDD"/>
    <w:rsid w:val="00E961E8"/>
    <w:rsid w:val="00E96244"/>
    <w:rsid w:val="00E96DE0"/>
    <w:rsid w:val="00EA0B3E"/>
    <w:rsid w:val="00EA325C"/>
    <w:rsid w:val="00EA55FF"/>
    <w:rsid w:val="00EA7419"/>
    <w:rsid w:val="00EB2BEC"/>
    <w:rsid w:val="00EB74BF"/>
    <w:rsid w:val="00EC0704"/>
    <w:rsid w:val="00EC1DF7"/>
    <w:rsid w:val="00EC508B"/>
    <w:rsid w:val="00ED2D58"/>
    <w:rsid w:val="00ED6B5D"/>
    <w:rsid w:val="00EE0586"/>
    <w:rsid w:val="00EE0D58"/>
    <w:rsid w:val="00EE4C99"/>
    <w:rsid w:val="00EE6D8E"/>
    <w:rsid w:val="00F0717D"/>
    <w:rsid w:val="00F153D7"/>
    <w:rsid w:val="00F1599C"/>
    <w:rsid w:val="00F2433F"/>
    <w:rsid w:val="00F244DC"/>
    <w:rsid w:val="00F24EE7"/>
    <w:rsid w:val="00F27021"/>
    <w:rsid w:val="00F30CDE"/>
    <w:rsid w:val="00F378F4"/>
    <w:rsid w:val="00F43564"/>
    <w:rsid w:val="00F47912"/>
    <w:rsid w:val="00F541B6"/>
    <w:rsid w:val="00F57702"/>
    <w:rsid w:val="00F60D31"/>
    <w:rsid w:val="00F61361"/>
    <w:rsid w:val="00F613E8"/>
    <w:rsid w:val="00F74D3C"/>
    <w:rsid w:val="00F74FC9"/>
    <w:rsid w:val="00F91F47"/>
    <w:rsid w:val="00FA0EC5"/>
    <w:rsid w:val="00FA4F36"/>
    <w:rsid w:val="00FA6FFE"/>
    <w:rsid w:val="00FC121B"/>
    <w:rsid w:val="00FC191C"/>
    <w:rsid w:val="00FC4824"/>
    <w:rsid w:val="00FC4C11"/>
    <w:rsid w:val="00FC5706"/>
    <w:rsid w:val="00FD3CE5"/>
    <w:rsid w:val="00FD3DFB"/>
    <w:rsid w:val="00FE0FEA"/>
    <w:rsid w:val="00FE3151"/>
    <w:rsid w:val="00FF0272"/>
    <w:rsid w:val="00FF414B"/>
    <w:rsid w:val="00FF4B7A"/>
    <w:rsid w:val="00FF6FF5"/>
    <w:rsid w:val="00FF7A63"/>
    <w:rsid w:val="00FF7E81"/>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7D44A8"/>
  <w15:docId w15:val="{4971B98A-309B-41B5-937D-82CDFE46E4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054C41"/>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Hlavika">
    <w:name w:val="header"/>
    <w:basedOn w:val="Normlny"/>
    <w:link w:val="HlavikaChar"/>
    <w:uiPriority w:val="99"/>
    <w:unhideWhenUsed/>
    <w:rsid w:val="00054C41"/>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054C41"/>
  </w:style>
  <w:style w:type="paragraph" w:styleId="Normlnywebov">
    <w:name w:val="Normal (Web)"/>
    <w:basedOn w:val="Normlny"/>
    <w:uiPriority w:val="99"/>
    <w:unhideWhenUsed/>
    <w:rsid w:val="00054C41"/>
    <w:pPr>
      <w:spacing w:after="0" w:line="240" w:lineRule="auto"/>
    </w:pPr>
    <w:rPr>
      <w:rFonts w:ascii="Times New Roman" w:eastAsia="Times New Roman" w:hAnsi="Times New Roman" w:cs="Times New Roman"/>
      <w:sz w:val="24"/>
      <w:szCs w:val="24"/>
      <w:lang w:eastAsia="sk-SK"/>
    </w:rPr>
  </w:style>
  <w:style w:type="table" w:customStyle="1" w:styleId="Mriekatabuky2">
    <w:name w:val="Mriežka tabuľky2"/>
    <w:basedOn w:val="Normlnatabuka"/>
    <w:next w:val="Mriekatabuky"/>
    <w:uiPriority w:val="59"/>
    <w:rsid w:val="00054C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riekatabuky">
    <w:name w:val="Table Grid"/>
    <w:basedOn w:val="Normlnatabuka"/>
    <w:uiPriority w:val="39"/>
    <w:rsid w:val="00054C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ta">
    <w:name w:val="footer"/>
    <w:basedOn w:val="Normlny"/>
    <w:link w:val="PtaChar"/>
    <w:uiPriority w:val="99"/>
    <w:unhideWhenUsed/>
    <w:rsid w:val="00054C41"/>
    <w:pPr>
      <w:tabs>
        <w:tab w:val="center" w:pos="4536"/>
        <w:tab w:val="right" w:pos="9072"/>
      </w:tabs>
      <w:spacing w:after="0" w:line="240" w:lineRule="auto"/>
    </w:pPr>
  </w:style>
  <w:style w:type="character" w:customStyle="1" w:styleId="PtaChar">
    <w:name w:val="Päta Char"/>
    <w:basedOn w:val="Predvolenpsmoodseku"/>
    <w:link w:val="Pta"/>
    <w:uiPriority w:val="99"/>
    <w:rsid w:val="00054C41"/>
  </w:style>
  <w:style w:type="paragraph" w:styleId="Textbubliny">
    <w:name w:val="Balloon Text"/>
    <w:basedOn w:val="Normlny"/>
    <w:link w:val="TextbublinyChar"/>
    <w:uiPriority w:val="99"/>
    <w:semiHidden/>
    <w:unhideWhenUsed/>
    <w:rsid w:val="001B4C03"/>
    <w:pPr>
      <w:spacing w:after="0" w:line="240" w:lineRule="auto"/>
    </w:pPr>
    <w:rPr>
      <w:rFonts w:ascii="Segoe UI" w:hAnsi="Segoe UI" w:cs="Segoe UI"/>
      <w:sz w:val="18"/>
      <w:szCs w:val="18"/>
    </w:rPr>
  </w:style>
  <w:style w:type="character" w:customStyle="1" w:styleId="TextbublinyChar">
    <w:name w:val="Text bubliny Char"/>
    <w:basedOn w:val="Predvolenpsmoodseku"/>
    <w:link w:val="Textbubliny"/>
    <w:uiPriority w:val="99"/>
    <w:semiHidden/>
    <w:rsid w:val="001B4C03"/>
    <w:rPr>
      <w:rFonts w:ascii="Segoe UI" w:hAnsi="Segoe UI" w:cs="Segoe UI"/>
      <w:sz w:val="18"/>
      <w:szCs w:val="18"/>
    </w:rPr>
  </w:style>
  <w:style w:type="character" w:styleId="Odkaznakomentr">
    <w:name w:val="annotation reference"/>
    <w:basedOn w:val="Predvolenpsmoodseku"/>
    <w:uiPriority w:val="99"/>
    <w:semiHidden/>
    <w:unhideWhenUsed/>
    <w:rsid w:val="001B4C03"/>
    <w:rPr>
      <w:sz w:val="16"/>
      <w:szCs w:val="16"/>
    </w:rPr>
  </w:style>
  <w:style w:type="paragraph" w:styleId="Textkomentra">
    <w:name w:val="annotation text"/>
    <w:basedOn w:val="Normlny"/>
    <w:link w:val="TextkomentraChar"/>
    <w:uiPriority w:val="99"/>
    <w:semiHidden/>
    <w:unhideWhenUsed/>
    <w:rsid w:val="001B4C03"/>
    <w:pPr>
      <w:spacing w:line="240" w:lineRule="auto"/>
    </w:pPr>
    <w:rPr>
      <w:sz w:val="20"/>
      <w:szCs w:val="20"/>
    </w:rPr>
  </w:style>
  <w:style w:type="character" w:customStyle="1" w:styleId="TextkomentraChar">
    <w:name w:val="Text komentára Char"/>
    <w:basedOn w:val="Predvolenpsmoodseku"/>
    <w:link w:val="Textkomentra"/>
    <w:uiPriority w:val="99"/>
    <w:semiHidden/>
    <w:rsid w:val="001B4C03"/>
    <w:rPr>
      <w:sz w:val="20"/>
      <w:szCs w:val="20"/>
    </w:rPr>
  </w:style>
  <w:style w:type="paragraph" w:styleId="Predmetkomentra">
    <w:name w:val="annotation subject"/>
    <w:basedOn w:val="Textkomentra"/>
    <w:next w:val="Textkomentra"/>
    <w:link w:val="PredmetkomentraChar"/>
    <w:uiPriority w:val="99"/>
    <w:semiHidden/>
    <w:unhideWhenUsed/>
    <w:rsid w:val="001B4C03"/>
    <w:rPr>
      <w:b/>
      <w:bCs/>
    </w:rPr>
  </w:style>
  <w:style w:type="character" w:customStyle="1" w:styleId="PredmetkomentraChar">
    <w:name w:val="Predmet komentára Char"/>
    <w:basedOn w:val="TextkomentraChar"/>
    <w:link w:val="Predmetkomentra"/>
    <w:uiPriority w:val="99"/>
    <w:semiHidden/>
    <w:rsid w:val="001B4C03"/>
    <w:rPr>
      <w:b/>
      <w:bCs/>
      <w:sz w:val="20"/>
      <w:szCs w:val="20"/>
    </w:rPr>
  </w:style>
  <w:style w:type="paragraph" w:styleId="Odsekzoznamu">
    <w:name w:val="List Paragraph"/>
    <w:basedOn w:val="Normlny"/>
    <w:uiPriority w:val="34"/>
    <w:qFormat/>
    <w:rsid w:val="00EE4C99"/>
    <w:pPr>
      <w:ind w:left="720"/>
      <w:contextualSpacing/>
    </w:pPr>
  </w:style>
  <w:style w:type="paragraph" w:customStyle="1" w:styleId="gmail-m-1648484718305530482msolistparagraph">
    <w:name w:val="gmail-m_-1648484718305530482msolistparagraph"/>
    <w:basedOn w:val="Normlny"/>
    <w:rsid w:val="00A50EE3"/>
    <w:pPr>
      <w:spacing w:before="100" w:beforeAutospacing="1" w:after="100" w:afterAutospacing="1" w:line="240" w:lineRule="auto"/>
    </w:pPr>
    <w:rPr>
      <w:rFonts w:ascii="Calibri" w:hAnsi="Calibri" w:cs="Calibri"/>
      <w:lang w:eastAsia="sk-SK"/>
    </w:rPr>
  </w:style>
  <w:style w:type="paragraph" w:styleId="Textpoznmkypodiarou">
    <w:name w:val="footnote text"/>
    <w:basedOn w:val="Normlny"/>
    <w:link w:val="TextpoznmkypodiarouChar"/>
    <w:uiPriority w:val="99"/>
    <w:semiHidden/>
    <w:unhideWhenUsed/>
    <w:rsid w:val="00C929AE"/>
    <w:pPr>
      <w:spacing w:after="0" w:line="240" w:lineRule="auto"/>
    </w:pPr>
    <w:rPr>
      <w:sz w:val="20"/>
      <w:szCs w:val="20"/>
    </w:rPr>
  </w:style>
  <w:style w:type="character" w:customStyle="1" w:styleId="TextpoznmkypodiarouChar">
    <w:name w:val="Text poznámky pod čiarou Char"/>
    <w:basedOn w:val="Predvolenpsmoodseku"/>
    <w:link w:val="Textpoznmkypodiarou"/>
    <w:uiPriority w:val="99"/>
    <w:semiHidden/>
    <w:rsid w:val="00C929AE"/>
    <w:rPr>
      <w:sz w:val="20"/>
      <w:szCs w:val="20"/>
    </w:rPr>
  </w:style>
  <w:style w:type="character" w:styleId="Odkaznapoznmkupodiarou">
    <w:name w:val="footnote reference"/>
    <w:basedOn w:val="Predvolenpsmoodseku"/>
    <w:uiPriority w:val="99"/>
    <w:semiHidden/>
    <w:unhideWhenUsed/>
    <w:rsid w:val="00C929AE"/>
    <w:rPr>
      <w:vertAlign w:val="superscript"/>
    </w:rPr>
  </w:style>
  <w:style w:type="paragraph" w:styleId="Revzia">
    <w:name w:val="Revision"/>
    <w:hidden/>
    <w:uiPriority w:val="99"/>
    <w:semiHidden/>
    <w:rsid w:val="00DE6ACB"/>
    <w:pPr>
      <w:spacing w:after="0" w:line="240" w:lineRule="auto"/>
    </w:pPr>
  </w:style>
  <w:style w:type="character" w:styleId="Hypertextovprepojenie">
    <w:name w:val="Hyperlink"/>
    <w:basedOn w:val="Predvolenpsmoodseku"/>
    <w:uiPriority w:val="99"/>
    <w:unhideWhenUsed/>
    <w:rsid w:val="00393BA0"/>
    <w:rPr>
      <w:color w:val="0563C1" w:themeColor="hyperlink"/>
      <w:u w:val="single"/>
    </w:rPr>
  </w:style>
  <w:style w:type="paragraph" w:styleId="Zkladntext">
    <w:name w:val="Body Text"/>
    <w:basedOn w:val="Normlny"/>
    <w:link w:val="ZkladntextChar"/>
    <w:uiPriority w:val="99"/>
    <w:semiHidden/>
    <w:rsid w:val="001C7331"/>
    <w:pPr>
      <w:widowControl w:val="0"/>
      <w:adjustRightInd w:val="0"/>
      <w:spacing w:after="0" w:line="240" w:lineRule="auto"/>
      <w:jc w:val="center"/>
    </w:pPr>
    <w:rPr>
      <w:rFonts w:ascii="Times New Roman" w:eastAsia="Times New Roman" w:hAnsi="Times New Roman" w:cs="Times New Roman"/>
      <w:b/>
      <w:bCs/>
      <w:sz w:val="28"/>
      <w:szCs w:val="28"/>
      <w:lang w:eastAsia="sk-SK"/>
    </w:rPr>
  </w:style>
  <w:style w:type="character" w:customStyle="1" w:styleId="ZkladntextChar">
    <w:name w:val="Základný text Char"/>
    <w:basedOn w:val="Predvolenpsmoodseku"/>
    <w:link w:val="Zkladntext"/>
    <w:uiPriority w:val="99"/>
    <w:semiHidden/>
    <w:rsid w:val="001C7331"/>
    <w:rPr>
      <w:rFonts w:ascii="Times New Roman" w:eastAsia="Times New Roman" w:hAnsi="Times New Roman" w:cs="Times New Roman"/>
      <w:b/>
      <w:bCs/>
      <w:sz w:val="28"/>
      <w:szCs w:val="28"/>
      <w:lang w:eastAsia="sk-SK"/>
    </w:rPr>
  </w:style>
  <w:style w:type="paragraph" w:customStyle="1" w:styleId="Default">
    <w:name w:val="Default"/>
    <w:rsid w:val="000B5FE6"/>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617862">
      <w:bodyDiv w:val="1"/>
      <w:marLeft w:val="0"/>
      <w:marRight w:val="0"/>
      <w:marTop w:val="0"/>
      <w:marBottom w:val="0"/>
      <w:divBdr>
        <w:top w:val="none" w:sz="0" w:space="0" w:color="auto"/>
        <w:left w:val="none" w:sz="0" w:space="0" w:color="auto"/>
        <w:bottom w:val="none" w:sz="0" w:space="0" w:color="auto"/>
        <w:right w:val="none" w:sz="0" w:space="0" w:color="auto"/>
      </w:divBdr>
    </w:div>
    <w:div w:id="94257187">
      <w:bodyDiv w:val="1"/>
      <w:marLeft w:val="0"/>
      <w:marRight w:val="0"/>
      <w:marTop w:val="0"/>
      <w:marBottom w:val="0"/>
      <w:divBdr>
        <w:top w:val="none" w:sz="0" w:space="0" w:color="auto"/>
        <w:left w:val="none" w:sz="0" w:space="0" w:color="auto"/>
        <w:bottom w:val="none" w:sz="0" w:space="0" w:color="auto"/>
        <w:right w:val="none" w:sz="0" w:space="0" w:color="auto"/>
      </w:divBdr>
    </w:div>
    <w:div w:id="101582348">
      <w:bodyDiv w:val="1"/>
      <w:marLeft w:val="0"/>
      <w:marRight w:val="0"/>
      <w:marTop w:val="0"/>
      <w:marBottom w:val="0"/>
      <w:divBdr>
        <w:top w:val="none" w:sz="0" w:space="0" w:color="auto"/>
        <w:left w:val="none" w:sz="0" w:space="0" w:color="auto"/>
        <w:bottom w:val="none" w:sz="0" w:space="0" w:color="auto"/>
        <w:right w:val="none" w:sz="0" w:space="0" w:color="auto"/>
      </w:divBdr>
    </w:div>
    <w:div w:id="253713910">
      <w:bodyDiv w:val="1"/>
      <w:marLeft w:val="0"/>
      <w:marRight w:val="0"/>
      <w:marTop w:val="0"/>
      <w:marBottom w:val="0"/>
      <w:divBdr>
        <w:top w:val="none" w:sz="0" w:space="0" w:color="auto"/>
        <w:left w:val="none" w:sz="0" w:space="0" w:color="auto"/>
        <w:bottom w:val="none" w:sz="0" w:space="0" w:color="auto"/>
        <w:right w:val="none" w:sz="0" w:space="0" w:color="auto"/>
      </w:divBdr>
    </w:div>
    <w:div w:id="264073756">
      <w:bodyDiv w:val="1"/>
      <w:marLeft w:val="0"/>
      <w:marRight w:val="0"/>
      <w:marTop w:val="0"/>
      <w:marBottom w:val="0"/>
      <w:divBdr>
        <w:top w:val="none" w:sz="0" w:space="0" w:color="auto"/>
        <w:left w:val="none" w:sz="0" w:space="0" w:color="auto"/>
        <w:bottom w:val="none" w:sz="0" w:space="0" w:color="auto"/>
        <w:right w:val="none" w:sz="0" w:space="0" w:color="auto"/>
      </w:divBdr>
    </w:div>
    <w:div w:id="348261086">
      <w:bodyDiv w:val="1"/>
      <w:marLeft w:val="0"/>
      <w:marRight w:val="0"/>
      <w:marTop w:val="0"/>
      <w:marBottom w:val="0"/>
      <w:divBdr>
        <w:top w:val="none" w:sz="0" w:space="0" w:color="auto"/>
        <w:left w:val="none" w:sz="0" w:space="0" w:color="auto"/>
        <w:bottom w:val="none" w:sz="0" w:space="0" w:color="auto"/>
        <w:right w:val="none" w:sz="0" w:space="0" w:color="auto"/>
      </w:divBdr>
    </w:div>
    <w:div w:id="348797041">
      <w:bodyDiv w:val="1"/>
      <w:marLeft w:val="0"/>
      <w:marRight w:val="0"/>
      <w:marTop w:val="0"/>
      <w:marBottom w:val="0"/>
      <w:divBdr>
        <w:top w:val="none" w:sz="0" w:space="0" w:color="auto"/>
        <w:left w:val="none" w:sz="0" w:space="0" w:color="auto"/>
        <w:bottom w:val="none" w:sz="0" w:space="0" w:color="auto"/>
        <w:right w:val="none" w:sz="0" w:space="0" w:color="auto"/>
      </w:divBdr>
    </w:div>
    <w:div w:id="467238227">
      <w:bodyDiv w:val="1"/>
      <w:marLeft w:val="0"/>
      <w:marRight w:val="0"/>
      <w:marTop w:val="0"/>
      <w:marBottom w:val="0"/>
      <w:divBdr>
        <w:top w:val="none" w:sz="0" w:space="0" w:color="auto"/>
        <w:left w:val="none" w:sz="0" w:space="0" w:color="auto"/>
        <w:bottom w:val="none" w:sz="0" w:space="0" w:color="auto"/>
        <w:right w:val="none" w:sz="0" w:space="0" w:color="auto"/>
      </w:divBdr>
    </w:div>
    <w:div w:id="525873126">
      <w:bodyDiv w:val="1"/>
      <w:marLeft w:val="0"/>
      <w:marRight w:val="0"/>
      <w:marTop w:val="0"/>
      <w:marBottom w:val="0"/>
      <w:divBdr>
        <w:top w:val="none" w:sz="0" w:space="0" w:color="auto"/>
        <w:left w:val="none" w:sz="0" w:space="0" w:color="auto"/>
        <w:bottom w:val="none" w:sz="0" w:space="0" w:color="auto"/>
        <w:right w:val="none" w:sz="0" w:space="0" w:color="auto"/>
      </w:divBdr>
    </w:div>
    <w:div w:id="627048967">
      <w:bodyDiv w:val="1"/>
      <w:marLeft w:val="0"/>
      <w:marRight w:val="0"/>
      <w:marTop w:val="0"/>
      <w:marBottom w:val="0"/>
      <w:divBdr>
        <w:top w:val="none" w:sz="0" w:space="0" w:color="auto"/>
        <w:left w:val="none" w:sz="0" w:space="0" w:color="auto"/>
        <w:bottom w:val="none" w:sz="0" w:space="0" w:color="auto"/>
        <w:right w:val="none" w:sz="0" w:space="0" w:color="auto"/>
      </w:divBdr>
    </w:div>
    <w:div w:id="747580039">
      <w:bodyDiv w:val="1"/>
      <w:marLeft w:val="0"/>
      <w:marRight w:val="0"/>
      <w:marTop w:val="0"/>
      <w:marBottom w:val="0"/>
      <w:divBdr>
        <w:top w:val="none" w:sz="0" w:space="0" w:color="auto"/>
        <w:left w:val="none" w:sz="0" w:space="0" w:color="auto"/>
        <w:bottom w:val="none" w:sz="0" w:space="0" w:color="auto"/>
        <w:right w:val="none" w:sz="0" w:space="0" w:color="auto"/>
      </w:divBdr>
    </w:div>
    <w:div w:id="897276704">
      <w:bodyDiv w:val="1"/>
      <w:marLeft w:val="0"/>
      <w:marRight w:val="0"/>
      <w:marTop w:val="0"/>
      <w:marBottom w:val="0"/>
      <w:divBdr>
        <w:top w:val="none" w:sz="0" w:space="0" w:color="auto"/>
        <w:left w:val="none" w:sz="0" w:space="0" w:color="auto"/>
        <w:bottom w:val="none" w:sz="0" w:space="0" w:color="auto"/>
        <w:right w:val="none" w:sz="0" w:space="0" w:color="auto"/>
      </w:divBdr>
    </w:div>
    <w:div w:id="1098526378">
      <w:bodyDiv w:val="1"/>
      <w:marLeft w:val="0"/>
      <w:marRight w:val="0"/>
      <w:marTop w:val="0"/>
      <w:marBottom w:val="0"/>
      <w:divBdr>
        <w:top w:val="none" w:sz="0" w:space="0" w:color="auto"/>
        <w:left w:val="none" w:sz="0" w:space="0" w:color="auto"/>
        <w:bottom w:val="none" w:sz="0" w:space="0" w:color="auto"/>
        <w:right w:val="none" w:sz="0" w:space="0" w:color="auto"/>
      </w:divBdr>
    </w:div>
    <w:div w:id="1099058068">
      <w:bodyDiv w:val="1"/>
      <w:marLeft w:val="0"/>
      <w:marRight w:val="0"/>
      <w:marTop w:val="0"/>
      <w:marBottom w:val="0"/>
      <w:divBdr>
        <w:top w:val="none" w:sz="0" w:space="0" w:color="auto"/>
        <w:left w:val="none" w:sz="0" w:space="0" w:color="auto"/>
        <w:bottom w:val="none" w:sz="0" w:space="0" w:color="auto"/>
        <w:right w:val="none" w:sz="0" w:space="0" w:color="auto"/>
      </w:divBdr>
    </w:div>
    <w:div w:id="1142238006">
      <w:bodyDiv w:val="1"/>
      <w:marLeft w:val="0"/>
      <w:marRight w:val="0"/>
      <w:marTop w:val="0"/>
      <w:marBottom w:val="0"/>
      <w:divBdr>
        <w:top w:val="none" w:sz="0" w:space="0" w:color="auto"/>
        <w:left w:val="none" w:sz="0" w:space="0" w:color="auto"/>
        <w:bottom w:val="none" w:sz="0" w:space="0" w:color="auto"/>
        <w:right w:val="none" w:sz="0" w:space="0" w:color="auto"/>
      </w:divBdr>
    </w:div>
    <w:div w:id="1246376856">
      <w:bodyDiv w:val="1"/>
      <w:marLeft w:val="0"/>
      <w:marRight w:val="0"/>
      <w:marTop w:val="0"/>
      <w:marBottom w:val="0"/>
      <w:divBdr>
        <w:top w:val="none" w:sz="0" w:space="0" w:color="auto"/>
        <w:left w:val="none" w:sz="0" w:space="0" w:color="auto"/>
        <w:bottom w:val="none" w:sz="0" w:space="0" w:color="auto"/>
        <w:right w:val="none" w:sz="0" w:space="0" w:color="auto"/>
      </w:divBdr>
    </w:div>
    <w:div w:id="1312245496">
      <w:bodyDiv w:val="1"/>
      <w:marLeft w:val="0"/>
      <w:marRight w:val="0"/>
      <w:marTop w:val="0"/>
      <w:marBottom w:val="0"/>
      <w:divBdr>
        <w:top w:val="none" w:sz="0" w:space="0" w:color="auto"/>
        <w:left w:val="none" w:sz="0" w:space="0" w:color="auto"/>
        <w:bottom w:val="none" w:sz="0" w:space="0" w:color="auto"/>
        <w:right w:val="none" w:sz="0" w:space="0" w:color="auto"/>
      </w:divBdr>
    </w:div>
    <w:div w:id="1336617123">
      <w:bodyDiv w:val="1"/>
      <w:marLeft w:val="0"/>
      <w:marRight w:val="0"/>
      <w:marTop w:val="0"/>
      <w:marBottom w:val="0"/>
      <w:divBdr>
        <w:top w:val="none" w:sz="0" w:space="0" w:color="auto"/>
        <w:left w:val="none" w:sz="0" w:space="0" w:color="auto"/>
        <w:bottom w:val="none" w:sz="0" w:space="0" w:color="auto"/>
        <w:right w:val="none" w:sz="0" w:space="0" w:color="auto"/>
      </w:divBdr>
    </w:div>
    <w:div w:id="1423917238">
      <w:bodyDiv w:val="1"/>
      <w:marLeft w:val="0"/>
      <w:marRight w:val="0"/>
      <w:marTop w:val="0"/>
      <w:marBottom w:val="0"/>
      <w:divBdr>
        <w:top w:val="none" w:sz="0" w:space="0" w:color="auto"/>
        <w:left w:val="none" w:sz="0" w:space="0" w:color="auto"/>
        <w:bottom w:val="none" w:sz="0" w:space="0" w:color="auto"/>
        <w:right w:val="none" w:sz="0" w:space="0" w:color="auto"/>
      </w:divBdr>
    </w:div>
    <w:div w:id="1640454007">
      <w:bodyDiv w:val="1"/>
      <w:marLeft w:val="0"/>
      <w:marRight w:val="0"/>
      <w:marTop w:val="0"/>
      <w:marBottom w:val="0"/>
      <w:divBdr>
        <w:top w:val="none" w:sz="0" w:space="0" w:color="auto"/>
        <w:left w:val="none" w:sz="0" w:space="0" w:color="auto"/>
        <w:bottom w:val="none" w:sz="0" w:space="0" w:color="auto"/>
        <w:right w:val="none" w:sz="0" w:space="0" w:color="auto"/>
      </w:divBdr>
    </w:div>
    <w:div w:id="1756516482">
      <w:bodyDiv w:val="1"/>
      <w:marLeft w:val="0"/>
      <w:marRight w:val="0"/>
      <w:marTop w:val="0"/>
      <w:marBottom w:val="0"/>
      <w:divBdr>
        <w:top w:val="none" w:sz="0" w:space="0" w:color="auto"/>
        <w:left w:val="none" w:sz="0" w:space="0" w:color="auto"/>
        <w:bottom w:val="none" w:sz="0" w:space="0" w:color="auto"/>
        <w:right w:val="none" w:sz="0" w:space="0" w:color="auto"/>
      </w:divBdr>
    </w:div>
    <w:div w:id="1760103684">
      <w:bodyDiv w:val="1"/>
      <w:marLeft w:val="0"/>
      <w:marRight w:val="0"/>
      <w:marTop w:val="0"/>
      <w:marBottom w:val="0"/>
      <w:divBdr>
        <w:top w:val="none" w:sz="0" w:space="0" w:color="auto"/>
        <w:left w:val="none" w:sz="0" w:space="0" w:color="auto"/>
        <w:bottom w:val="none" w:sz="0" w:space="0" w:color="auto"/>
        <w:right w:val="none" w:sz="0" w:space="0" w:color="auto"/>
      </w:divBdr>
    </w:div>
    <w:div w:id="1992371052">
      <w:bodyDiv w:val="1"/>
      <w:marLeft w:val="0"/>
      <w:marRight w:val="0"/>
      <w:marTop w:val="0"/>
      <w:marBottom w:val="0"/>
      <w:divBdr>
        <w:top w:val="none" w:sz="0" w:space="0" w:color="auto"/>
        <w:left w:val="none" w:sz="0" w:space="0" w:color="auto"/>
        <w:bottom w:val="none" w:sz="0" w:space="0" w:color="auto"/>
        <w:right w:val="none" w:sz="0" w:space="0" w:color="auto"/>
      </w:divBdr>
    </w:div>
    <w:div w:id="2092854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18" Type="http://schemas.openxmlformats.org/officeDocument/2006/relationships/customXml" Target="../customXml/item6.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slov-lex.sk/elegislativa/legislativne-procesy/SK/PI/2025/128" TargetMode="External"/><Relationship Id="rId17" Type="http://schemas.openxmlformats.org/officeDocument/2006/relationships/customXml" Target="../customXml/item5.xml"/><Relationship Id="rId2" Type="http://schemas.openxmlformats.org/officeDocument/2006/relationships/customXml" Target="../customXml/item2.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justice.gov.sk/ministerstvo/analyticke-centrum/" TargetMode="External"/><Relationship Id="rId5" Type="http://schemas.openxmlformats.org/officeDocument/2006/relationships/settings" Target="settings.xml"/><Relationship Id="rId15" Type="http://schemas.openxmlformats.org/officeDocument/2006/relationships/customXml" Target="../customXml/item3.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s://www.mhsr.sk/podnikatelske-prostredie/lepsia-regulacia/regulacne-zatazenie/kalkulacka-nakladov-regulacie" TargetMode="External"/><Relationship Id="rId14" Type="http://schemas.openxmlformats.org/officeDocument/2006/relationships/theme" Target="theme/theme1.xml"/></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f:fields xmlns:f="http://schemas.fabasoft.com/folio/2007/fields">
  <f:record ref="">
    <f:field ref="objname" par="" edit="true" text="Priloha-3a-AVnaPP-do-MPK"/>
    <f:field ref="objsubject" par="" edit="true" text=""/>
    <f:field ref="objcreatedby" par="" text="Pavlíková, Katarína, Mgr."/>
    <f:field ref="objcreatedat" par="" text="10.11.2022 9:46:51"/>
    <f:field ref="objchangedby" par="" text="Administrator, System"/>
    <f:field ref="objmodifiedat" par="" text="10.11.2022 9:46:51"/>
    <f:field ref="doc_FSCFOLIO_1_1001_FieldDocumentNumber" par="" text=""/>
    <f:field ref="doc_FSCFOLIO_1_1001_FieldSubject" par="" edit="true" text=""/>
    <f:field ref="FSCFOLIO_1_1001_FieldCurrentUser" par="" text="System Administrator"/>
  </f:record>
  <f:display par="" text="...">
    <f:field ref="FSCFOLIO_1_1001_FieldCurrentUser" text="Aktuálny používateľ"/>
    <f:field ref="objname" text="Meno"/>
    <f:field ref="objmodifiedat" text="Posledná zmena deň/hodina"/>
    <f:field ref="objchangedby" text="Poslednú zmenu urobil"/>
    <f:field ref="objsubject" text="Vec"/>
    <f:field ref="objcreatedat" text="Vytvorené deň/hodina"/>
    <f:field ref="objcreatedby" text="Vytvoril"/>
  </f:display>
  <f:display par="" text="Hromadná korešpondencia">
    <f:field ref="doc_FSCFOLIO_1_1001_FieldDocumentNumber" text="Číslo dokumentu"/>
    <f:field ref="doc_FSCFOLIO_1_1001_FieldSubject" text="Predmet"/>
  </f:display>
</f:field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6C0C8C3C1E3DCC44BECE3792677AD011" ma:contentTypeVersion="0" ma:contentTypeDescription="Umožňuje vytvoriť nový dokument." ma:contentTypeScope="" ma:versionID="85fc4bdbf09a6aa5742b4e3db9523750">
  <xsd:schema xmlns:xsd="http://www.w3.org/2001/XMLSchema" xmlns:xs="http://www.w3.org/2001/XMLSchema" xmlns:p="http://schemas.microsoft.com/office/2006/metadata/properties" xmlns:ns2="e60a29af-d413-48d4-bd90-fe9d2a897e4b" targetNamespace="http://schemas.microsoft.com/office/2006/metadata/properties" ma:root="true" ma:fieldsID="d088e84141cffc04886a2632a8c86973" ns2:_="">
    <xsd:import namespace="e60a29af-d413-48d4-bd90-fe9d2a897e4b"/>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0a29af-d413-48d4-bd90-fe9d2a897e4b" elementFormDefault="qualified">
    <xsd:import namespace="http://schemas.microsoft.com/office/2006/documentManagement/types"/>
    <xsd:import namespace="http://schemas.microsoft.com/office/infopath/2007/PartnerControls"/>
    <xsd:element name="_dlc_DocId" ma:index="8" nillable="true" ma:displayName="Hodnota identifikátora dokumentu" ma:description="Hodnota identifikátora dokumentu priradená k tejto položke." ma:internalName="_dlc_DocId" ma:readOnly="true">
      <xsd:simpleType>
        <xsd:restriction base="dms:Text"/>
      </xsd:simpleType>
    </xsd:element>
    <xsd:element name="_dlc_DocIdUrl" ma:index="9" nillable="true" ma:displayName="Identifikátor dokumentu" ma:description="Trvalé prepojenie na tento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Url xmlns="e60a29af-d413-48d4-bd90-fe9d2a897e4b">
      <Url>https://ovdmasv601/sites/DMS/_layouts/15/DocIdRedir.aspx?ID=WKX3UHSAJ2R6-2-1441092</Url>
      <Description>WKX3UHSAJ2R6-2-1441092</Description>
    </_dlc_DocIdUrl>
    <_dlc_DocId xmlns="e60a29af-d413-48d4-bd90-fe9d2a897e4b">WKX3UHSAJ2R6-2-1441092</_dlc_DocId>
  </documentManagement>
</p:properties>
</file>

<file path=customXml/itemProps1.xml><?xml version="1.0" encoding="utf-8"?>
<ds:datastoreItem xmlns:ds="http://schemas.openxmlformats.org/officeDocument/2006/customXml" ds:itemID="{4E8A9591-F074-446B-902F-511FF79C122F}">
  <ds:schemaRefs>
    <ds:schemaRef ds:uri="http://schemas.fabasoft.com/folio/2007/fields"/>
  </ds:schemaRefs>
</ds:datastoreItem>
</file>

<file path=customXml/itemProps2.xml><?xml version="1.0" encoding="utf-8"?>
<ds:datastoreItem xmlns:ds="http://schemas.openxmlformats.org/officeDocument/2006/customXml" ds:itemID="{44E1BCB8-3D8C-4362-97F2-D1D07423D682}">
  <ds:schemaRefs>
    <ds:schemaRef ds:uri="http://schemas.openxmlformats.org/officeDocument/2006/bibliography"/>
  </ds:schemaRefs>
</ds:datastoreItem>
</file>

<file path=customXml/itemProps3.xml><?xml version="1.0" encoding="utf-8"?>
<ds:datastoreItem xmlns:ds="http://schemas.openxmlformats.org/officeDocument/2006/customXml" ds:itemID="{ADE5B20D-6900-418D-9269-114CEC602D0C}"/>
</file>

<file path=customXml/itemProps4.xml><?xml version="1.0" encoding="utf-8"?>
<ds:datastoreItem xmlns:ds="http://schemas.openxmlformats.org/officeDocument/2006/customXml" ds:itemID="{69FB9967-52CB-401E-BE76-C97497FAA420}"/>
</file>

<file path=customXml/itemProps5.xml><?xml version="1.0" encoding="utf-8"?>
<ds:datastoreItem xmlns:ds="http://schemas.openxmlformats.org/officeDocument/2006/customXml" ds:itemID="{9C470B01-2A6F-4FB4-9B39-0702E0B3D5A9}"/>
</file>

<file path=customXml/itemProps6.xml><?xml version="1.0" encoding="utf-8"?>
<ds:datastoreItem xmlns:ds="http://schemas.openxmlformats.org/officeDocument/2006/customXml" ds:itemID="{C52DF35A-8CBA-40F9-851B-7C09AB05DDD9}"/>
</file>

<file path=docProps/app.xml><?xml version="1.0" encoding="utf-8"?>
<Properties xmlns="http://schemas.openxmlformats.org/officeDocument/2006/extended-properties" xmlns:vt="http://schemas.openxmlformats.org/officeDocument/2006/docPropsVTypes">
  <Template>Normal</Template>
  <TotalTime>5</TotalTime>
  <Pages>13</Pages>
  <Words>4876</Words>
  <Characters>27795</Characters>
  <Application>Microsoft Office Word</Application>
  <DocSecurity>0</DocSecurity>
  <Lines>231</Lines>
  <Paragraphs>65</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32606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KOVAĽOVÁ Anna</dc:creator>
  <cp:lastModifiedBy>KOVAĽOVÁ Anna</cp:lastModifiedBy>
  <cp:revision>5</cp:revision>
  <cp:lastPrinted>2024-10-04T10:13:00Z</cp:lastPrinted>
  <dcterms:created xsi:type="dcterms:W3CDTF">2026-03-25T11:41:00Z</dcterms:created>
  <dcterms:modified xsi:type="dcterms:W3CDTF">2026-03-25T12:00:00Z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SC#SKEDITIONSLOVLEX@103.510:spravaucastverej">
    <vt:lpwstr/>
  </property>
  <property fmtid="{D5CDD505-2E9C-101B-9397-08002B2CF9AE}" pid="3" name="FSC#SKEDITIONSLOVLEX@103.510:typpredpis">
    <vt:lpwstr>Nelegislatívny všeobecný materiál</vt:lpwstr>
  </property>
  <property fmtid="{D5CDD505-2E9C-101B-9397-08002B2CF9AE}" pid="4" name="FSC#SKEDITIONSLOVLEX@103.510:aktualnyrok">
    <vt:lpwstr>2022</vt:lpwstr>
  </property>
  <property fmtid="{D5CDD505-2E9C-101B-9397-08002B2CF9AE}" pid="5" name="FSC#SKEDITIONSLOVLEX@103.510:cisloparlamenttlac">
    <vt:lpwstr/>
  </property>
  <property fmtid="{D5CDD505-2E9C-101B-9397-08002B2CF9AE}" pid="6" name="FSC#SKEDITIONSLOVLEX@103.510:stavpredpis">
    <vt:lpwstr>Vyhodnotenie medzirezortného pripomienkového konania</vt:lpwstr>
  </property>
  <property fmtid="{D5CDD505-2E9C-101B-9397-08002B2CF9AE}" pid="7" name="FSC#SKEDITIONSLOVLEX@103.510:povodpredpis">
    <vt:lpwstr>Slovlex (eLeg)</vt:lpwstr>
  </property>
  <property fmtid="{D5CDD505-2E9C-101B-9397-08002B2CF9AE}" pid="8" name="FSC#SKEDITIONSLOVLEX@103.510:legoblast">
    <vt:lpwstr>Nelegislatívna oblasť</vt:lpwstr>
  </property>
  <property fmtid="{D5CDD505-2E9C-101B-9397-08002B2CF9AE}" pid="9" name="FSC#SKEDITIONSLOVLEX@103.510:uzemplat">
    <vt:lpwstr/>
  </property>
  <property fmtid="{D5CDD505-2E9C-101B-9397-08002B2CF9AE}" pid="10" name="FSC#SKEDITIONSLOVLEX@103.510:vztahypredpis">
    <vt:lpwstr/>
  </property>
  <property fmtid="{D5CDD505-2E9C-101B-9397-08002B2CF9AE}" pid="11" name="FSC#SKEDITIONSLOVLEX@103.510:predkladatel">
    <vt:lpwstr>Mgr. Katarína Pavlíková</vt:lpwstr>
  </property>
  <property fmtid="{D5CDD505-2E9C-101B-9397-08002B2CF9AE}" pid="12" name="FSC#SKEDITIONSLOVLEX@103.510:zodppredkladatel">
    <vt:lpwstr>Ing. Karel Hirman</vt:lpwstr>
  </property>
  <property fmtid="{D5CDD505-2E9C-101B-9397-08002B2CF9AE}" pid="13" name="FSC#SKEDITIONSLOVLEX@103.510:dalsipredkladatel">
    <vt:lpwstr/>
  </property>
  <property fmtid="{D5CDD505-2E9C-101B-9397-08002B2CF9AE}" pid="14" name="FSC#SKEDITIONSLOVLEX@103.510:nazovpredpis">
    <vt:lpwstr> Návrh zmien a doplnení Jednotnej metodiky na posudzovanie vybraných vplyvov</vt:lpwstr>
  </property>
  <property fmtid="{D5CDD505-2E9C-101B-9397-08002B2CF9AE}" pid="15" name="FSC#SKEDITIONSLOVLEX@103.510:nazovpredpis1">
    <vt:lpwstr/>
  </property>
  <property fmtid="{D5CDD505-2E9C-101B-9397-08002B2CF9AE}" pid="16" name="FSC#SKEDITIONSLOVLEX@103.510:nazovpredpis2">
    <vt:lpwstr/>
  </property>
  <property fmtid="{D5CDD505-2E9C-101B-9397-08002B2CF9AE}" pid="17" name="FSC#SKEDITIONSLOVLEX@103.510:nazovpredpis3">
    <vt:lpwstr/>
  </property>
  <property fmtid="{D5CDD505-2E9C-101B-9397-08002B2CF9AE}" pid="18" name="FSC#SKEDITIONSLOVLEX@103.510:cislopredpis">
    <vt:lpwstr/>
  </property>
  <property fmtid="{D5CDD505-2E9C-101B-9397-08002B2CF9AE}" pid="19" name="FSC#SKEDITIONSLOVLEX@103.510:zodpinstitucia">
    <vt:lpwstr>Ministerstvo hospodárstva Slovenskej republiky</vt:lpwstr>
  </property>
  <property fmtid="{D5CDD505-2E9C-101B-9397-08002B2CF9AE}" pid="20" name="FSC#SKEDITIONSLOVLEX@103.510:pripomienkovatelia">
    <vt:lpwstr/>
  </property>
  <property fmtid="{D5CDD505-2E9C-101B-9397-08002B2CF9AE}" pid="21" name="FSC#SKEDITIONSLOVLEX@103.510:autorpredpis">
    <vt:lpwstr/>
  </property>
  <property fmtid="{D5CDD505-2E9C-101B-9397-08002B2CF9AE}" pid="22" name="FSC#SKEDITIONSLOVLEX@103.510:podnetpredpis">
    <vt:lpwstr>Komponent č. 14 Plánu obnovy a odolnosti SR</vt:lpwstr>
  </property>
  <property fmtid="{D5CDD505-2E9C-101B-9397-08002B2CF9AE}" pid="23" name="FSC#SKEDITIONSLOVLEX@103.510:plnynazovpredpis">
    <vt:lpwstr> Návrh zmien a doplnení Jednotnej metodiky na posudzovanie vybraných vplyvov</vt:lpwstr>
  </property>
  <property fmtid="{D5CDD505-2E9C-101B-9397-08002B2CF9AE}" pid="24" name="FSC#SKEDITIONSLOVLEX@103.510:plnynazovpredpis1">
    <vt:lpwstr/>
  </property>
  <property fmtid="{D5CDD505-2E9C-101B-9397-08002B2CF9AE}" pid="25" name="FSC#SKEDITIONSLOVLEX@103.510:plnynazovpredpis2">
    <vt:lpwstr/>
  </property>
  <property fmtid="{D5CDD505-2E9C-101B-9397-08002B2CF9AE}" pid="26" name="FSC#SKEDITIONSLOVLEX@103.510:plnynazovpredpis3">
    <vt:lpwstr/>
  </property>
  <property fmtid="{D5CDD505-2E9C-101B-9397-08002B2CF9AE}" pid="27" name="FSC#SKEDITIONSLOVLEX@103.510:rezortcislopredpis">
    <vt:lpwstr>44877/2022-3213-103108</vt:lpwstr>
  </property>
  <property fmtid="{D5CDD505-2E9C-101B-9397-08002B2CF9AE}" pid="28" name="FSC#SKEDITIONSLOVLEX@103.510:citaciapredpis">
    <vt:lpwstr/>
  </property>
  <property fmtid="{D5CDD505-2E9C-101B-9397-08002B2CF9AE}" pid="29" name="FSC#SKEDITIONSLOVLEX@103.510:spiscislouv">
    <vt:lpwstr/>
  </property>
  <property fmtid="{D5CDD505-2E9C-101B-9397-08002B2CF9AE}" pid="30" name="FSC#SKEDITIONSLOVLEX@103.510:datumschvalpredpis">
    <vt:lpwstr/>
  </property>
  <property fmtid="{D5CDD505-2E9C-101B-9397-08002B2CF9AE}" pid="31" name="FSC#SKEDITIONSLOVLEX@103.510:platneod">
    <vt:lpwstr/>
  </property>
  <property fmtid="{D5CDD505-2E9C-101B-9397-08002B2CF9AE}" pid="32" name="FSC#SKEDITIONSLOVLEX@103.510:platnedo">
    <vt:lpwstr/>
  </property>
  <property fmtid="{D5CDD505-2E9C-101B-9397-08002B2CF9AE}" pid="33" name="FSC#SKEDITIONSLOVLEX@103.510:ucinnostod">
    <vt:lpwstr/>
  </property>
  <property fmtid="{D5CDD505-2E9C-101B-9397-08002B2CF9AE}" pid="34" name="FSC#SKEDITIONSLOVLEX@103.510:ucinnostdo">
    <vt:lpwstr/>
  </property>
  <property fmtid="{D5CDD505-2E9C-101B-9397-08002B2CF9AE}" pid="35" name="FSC#SKEDITIONSLOVLEX@103.510:datumplatnosti">
    <vt:lpwstr/>
  </property>
  <property fmtid="{D5CDD505-2E9C-101B-9397-08002B2CF9AE}" pid="36" name="FSC#SKEDITIONSLOVLEX@103.510:cislolp">
    <vt:lpwstr>LP/2022/744</vt:lpwstr>
  </property>
  <property fmtid="{D5CDD505-2E9C-101B-9397-08002B2CF9AE}" pid="37" name="FSC#SKEDITIONSLOVLEX@103.510:typsprievdok">
    <vt:lpwstr>Vlastný materiál - neštruktúrovaný</vt:lpwstr>
  </property>
  <property fmtid="{D5CDD505-2E9C-101B-9397-08002B2CF9AE}" pid="38" name="FSC#SKEDITIONSLOVLEX@103.510:cislopartlac">
    <vt:lpwstr/>
  </property>
  <property fmtid="{D5CDD505-2E9C-101B-9397-08002B2CF9AE}" pid="39" name="FSC#SKEDITIONSLOVLEX@103.510:AttrStrListDocPropUcelPredmetZmluvy">
    <vt:lpwstr/>
  </property>
  <property fmtid="{D5CDD505-2E9C-101B-9397-08002B2CF9AE}" pid="40" name="FSC#SKEDITIONSLOVLEX@103.510:AttrStrListDocPropUpravaPravFOPRO">
    <vt:lpwstr/>
  </property>
  <property fmtid="{D5CDD505-2E9C-101B-9397-08002B2CF9AE}" pid="41" name="FSC#SKEDITIONSLOVLEX@103.510:AttrStrListDocPropUpravaPredmetuZmluvy">
    <vt:lpwstr/>
  </property>
  <property fmtid="{D5CDD505-2E9C-101B-9397-08002B2CF9AE}" pid="42" name="FSC#SKEDITIONSLOVLEX@103.510:AttrStrListDocPropKategoriaZmluvy74">
    <vt:lpwstr/>
  </property>
  <property fmtid="{D5CDD505-2E9C-101B-9397-08002B2CF9AE}" pid="43" name="FSC#SKEDITIONSLOVLEX@103.510:AttrStrListDocPropKategoriaZmluvy75">
    <vt:lpwstr/>
  </property>
  <property fmtid="{D5CDD505-2E9C-101B-9397-08002B2CF9AE}" pid="44" name="FSC#SKEDITIONSLOVLEX@103.510:AttrStrListDocPropDopadyPrijatiaZmluvy">
    <vt:lpwstr/>
  </property>
  <property fmtid="{D5CDD505-2E9C-101B-9397-08002B2CF9AE}" pid="45" name="FSC#SKEDITIONSLOVLEX@103.510:AttrStrListDocPropProblematikaPPa">
    <vt:lpwstr/>
  </property>
  <property fmtid="{D5CDD505-2E9C-101B-9397-08002B2CF9AE}" pid="46" name="FSC#SKEDITIONSLOVLEX@103.510:AttrStrListDocPropPrimarnePravoEU">
    <vt:lpwstr/>
  </property>
  <property fmtid="{D5CDD505-2E9C-101B-9397-08002B2CF9AE}" pid="47" name="FSC#SKEDITIONSLOVLEX@103.510:AttrStrListDocPropSekundarneLegPravoPO">
    <vt:lpwstr/>
  </property>
  <property fmtid="{D5CDD505-2E9C-101B-9397-08002B2CF9AE}" pid="48" name="FSC#SKEDITIONSLOVLEX@103.510:AttrStrListDocPropSekundarneNelegPravoPO">
    <vt:lpwstr/>
  </property>
  <property fmtid="{D5CDD505-2E9C-101B-9397-08002B2CF9AE}" pid="49" name="FSC#SKEDITIONSLOVLEX@103.510:AttrStrListDocPropSekundarneLegPravoDO">
    <vt:lpwstr/>
  </property>
  <property fmtid="{D5CDD505-2E9C-101B-9397-08002B2CF9AE}" pid="50" name="FSC#SKEDITIONSLOVLEX@103.510:AttrStrListDocPropProblematikaPPb">
    <vt:lpwstr/>
  </property>
  <property fmtid="{D5CDD505-2E9C-101B-9397-08002B2CF9AE}" pid="51" name="FSC#SKEDITIONSLOVLEX@103.510:AttrStrListDocPropNazovPredpisuEU">
    <vt:lpwstr/>
  </property>
  <property fmtid="{D5CDD505-2E9C-101B-9397-08002B2CF9AE}" pid="52" name="FSC#SKEDITIONSLOVLEX@103.510:AttrStrListDocPropLehotaPrebratieSmernice">
    <vt:lpwstr/>
  </property>
  <property fmtid="{D5CDD505-2E9C-101B-9397-08002B2CF9AE}" pid="53" name="FSC#SKEDITIONSLOVLEX@103.510:AttrStrListDocPropLehotaNaPredlozenie">
    <vt:lpwstr/>
  </property>
  <property fmtid="{D5CDD505-2E9C-101B-9397-08002B2CF9AE}" pid="54" name="FSC#SKEDITIONSLOVLEX@103.510:AttrStrListDocPropInfoZaciatokKonania">
    <vt:lpwstr/>
  </property>
  <property fmtid="{D5CDD505-2E9C-101B-9397-08002B2CF9AE}" pid="55" name="FSC#SKEDITIONSLOVLEX@103.510:AttrStrListDocPropInfoUzPreberanePP">
    <vt:lpwstr/>
  </property>
  <property fmtid="{D5CDD505-2E9C-101B-9397-08002B2CF9AE}" pid="56" name="FSC#SKEDITIONSLOVLEX@103.510:AttrStrListDocPropStupenZlucitelnostiPP">
    <vt:lpwstr/>
  </property>
  <property fmtid="{D5CDD505-2E9C-101B-9397-08002B2CF9AE}" pid="57" name="FSC#SKEDITIONSLOVLEX@103.510:AttrStrListDocPropGestorSpolupRezorty">
    <vt:lpwstr/>
  </property>
  <property fmtid="{D5CDD505-2E9C-101B-9397-08002B2CF9AE}" pid="58" name="FSC#SKEDITIONSLOVLEX@103.510:AttrDateDocPropZaciatokPKK">
    <vt:lpwstr/>
  </property>
  <property fmtid="{D5CDD505-2E9C-101B-9397-08002B2CF9AE}" pid="59" name="FSC#SKEDITIONSLOVLEX@103.510:AttrDateDocPropUkonceniePKK">
    <vt:lpwstr/>
  </property>
  <property fmtid="{D5CDD505-2E9C-101B-9397-08002B2CF9AE}" pid="60" name="FSC#SKEDITIONSLOVLEX@103.510:AttrStrDocPropVplyvRozpocetVS">
    <vt:lpwstr>Žiadne</vt:lpwstr>
  </property>
  <property fmtid="{D5CDD505-2E9C-101B-9397-08002B2CF9AE}" pid="61" name="FSC#SKEDITIONSLOVLEX@103.510:AttrStrDocPropVplyvPodnikatelskeProstr">
    <vt:lpwstr>Žiadne</vt:lpwstr>
  </property>
  <property fmtid="{D5CDD505-2E9C-101B-9397-08002B2CF9AE}" pid="62" name="FSC#SKEDITIONSLOVLEX@103.510:AttrStrDocPropVplyvSocialny">
    <vt:lpwstr>Žiadne</vt:lpwstr>
  </property>
  <property fmtid="{D5CDD505-2E9C-101B-9397-08002B2CF9AE}" pid="63" name="FSC#SKEDITIONSLOVLEX@103.510:AttrStrDocPropVplyvNaZivotProstr">
    <vt:lpwstr>Žiadne</vt:lpwstr>
  </property>
  <property fmtid="{D5CDD505-2E9C-101B-9397-08002B2CF9AE}" pid="64" name="FSC#SKEDITIONSLOVLEX@103.510:AttrStrDocPropVplyvNaInformatizaciu">
    <vt:lpwstr>Žiadne</vt:lpwstr>
  </property>
  <property fmtid="{D5CDD505-2E9C-101B-9397-08002B2CF9AE}" pid="65" name="FSC#SKEDITIONSLOVLEX@103.510:AttrStrListDocPropPoznamkaVplyv">
    <vt:lpwstr>&lt;p style="text-align: justify;"&gt;Samotný predkladaný materiál nemá vplyv na podnikateľské prostredie. Výrazné pozitívne vplyvy v tejto oblasti sa očakávajú po implementácii ochrany pred neopodstatneným goldplatingom.&lt;/p&gt;&lt;p style="text-align: justify;"&gt;&amp;nbs</vt:lpwstr>
  </property>
  <property fmtid="{D5CDD505-2E9C-101B-9397-08002B2CF9AE}" pid="66" name="FSC#SKEDITIONSLOVLEX@103.510:AttrStrListDocPropAltRiesenia">
    <vt:lpwstr>Nulový variant – zachovanie súčasného stavu vytvára nekontrolovaný priestor na vytváranie takej regulačnej záťaže podnikateľského prostredia, ktorá znižuje konkurencieschopnosť tuzemských podnikateľov. V prípade zachovania súčasného stavu by nebol zaveden</vt:lpwstr>
  </property>
  <property fmtid="{D5CDD505-2E9C-101B-9397-08002B2CF9AE}" pid="67" name="FSC#SKEDITIONSLOVLEX@103.510:AttrStrListDocPropStanoviskoGest">
    <vt:lpwstr/>
  </property>
  <property fmtid="{D5CDD505-2E9C-101B-9397-08002B2CF9AE}" pid="68" name="FSC#SKEDITIONSLOVLEX@103.510:AttrStrListDocPropTextKomunike">
    <vt:lpwstr/>
  </property>
  <property fmtid="{D5CDD505-2E9C-101B-9397-08002B2CF9AE}" pid="69" name="FSC#SKEDITIONSLOVLEX@103.510:AttrStrListDocPropUznesenieCastA">
    <vt:lpwstr/>
  </property>
  <property fmtid="{D5CDD505-2E9C-101B-9397-08002B2CF9AE}" pid="70" name="FSC#SKEDITIONSLOVLEX@103.510:AttrStrListDocPropUznesenieZodpovednyA1">
    <vt:lpwstr/>
  </property>
  <property fmtid="{D5CDD505-2E9C-101B-9397-08002B2CF9AE}" pid="71" name="FSC#SKEDITIONSLOVLEX@103.510:AttrStrListDocPropUznesenieTextA1">
    <vt:lpwstr/>
  </property>
  <property fmtid="{D5CDD505-2E9C-101B-9397-08002B2CF9AE}" pid="72" name="FSC#SKEDITIONSLOVLEX@103.510:AttrStrListDocPropUznesenieTerminA1">
    <vt:lpwstr/>
  </property>
  <property fmtid="{D5CDD505-2E9C-101B-9397-08002B2CF9AE}" pid="73" name="FSC#SKEDITIONSLOVLEX@103.510:AttrStrListDocPropUznesenieBODA1">
    <vt:lpwstr/>
  </property>
  <property fmtid="{D5CDD505-2E9C-101B-9397-08002B2CF9AE}" pid="74" name="FSC#SKEDITIONSLOVLEX@103.510:AttrStrListDocPropUznesenieZodpovednyA2">
    <vt:lpwstr/>
  </property>
  <property fmtid="{D5CDD505-2E9C-101B-9397-08002B2CF9AE}" pid="75" name="FSC#SKEDITIONSLOVLEX@103.510:AttrStrListDocPropUznesenieTextA2">
    <vt:lpwstr/>
  </property>
  <property fmtid="{D5CDD505-2E9C-101B-9397-08002B2CF9AE}" pid="76" name="FSC#SKEDITIONSLOVLEX@103.510:AttrStrListDocPropUznesenieTerminA2">
    <vt:lpwstr/>
  </property>
  <property fmtid="{D5CDD505-2E9C-101B-9397-08002B2CF9AE}" pid="77" name="FSC#SKEDITIONSLOVLEX@103.510:AttrStrListDocPropUznesenieBODA3">
    <vt:lpwstr/>
  </property>
  <property fmtid="{D5CDD505-2E9C-101B-9397-08002B2CF9AE}" pid="78" name="FSC#SKEDITIONSLOVLEX@103.510:AttrStrListDocPropUznesenieZodpovednyA3">
    <vt:lpwstr/>
  </property>
  <property fmtid="{D5CDD505-2E9C-101B-9397-08002B2CF9AE}" pid="79" name="FSC#SKEDITIONSLOVLEX@103.510:AttrStrListDocPropUznesenieTextA3">
    <vt:lpwstr/>
  </property>
  <property fmtid="{D5CDD505-2E9C-101B-9397-08002B2CF9AE}" pid="80" name="FSC#SKEDITIONSLOVLEX@103.510:AttrStrListDocPropUznesenieTerminA3">
    <vt:lpwstr/>
  </property>
  <property fmtid="{D5CDD505-2E9C-101B-9397-08002B2CF9AE}" pid="81" name="FSC#SKEDITIONSLOVLEX@103.510:AttrStrListDocPropUznesenieBODA4">
    <vt:lpwstr/>
  </property>
  <property fmtid="{D5CDD505-2E9C-101B-9397-08002B2CF9AE}" pid="82" name="FSC#SKEDITIONSLOVLEX@103.510:AttrStrListDocPropUznesenieZodpovednyA4">
    <vt:lpwstr/>
  </property>
  <property fmtid="{D5CDD505-2E9C-101B-9397-08002B2CF9AE}" pid="83" name="FSC#SKEDITIONSLOVLEX@103.510:AttrStrListDocPropUznesenieTextA4">
    <vt:lpwstr/>
  </property>
  <property fmtid="{D5CDD505-2E9C-101B-9397-08002B2CF9AE}" pid="84" name="FSC#SKEDITIONSLOVLEX@103.510:AttrStrListDocPropUznesenieTerminA4">
    <vt:lpwstr/>
  </property>
  <property fmtid="{D5CDD505-2E9C-101B-9397-08002B2CF9AE}" pid="85" name="FSC#SKEDITIONSLOVLEX@103.510:AttrStrListDocPropUznesenieCastB">
    <vt:lpwstr/>
  </property>
  <property fmtid="{D5CDD505-2E9C-101B-9397-08002B2CF9AE}" pid="86" name="FSC#SKEDITIONSLOVLEX@103.510:AttrStrListDocPropUznesenieBODB1">
    <vt:lpwstr/>
  </property>
  <property fmtid="{D5CDD505-2E9C-101B-9397-08002B2CF9AE}" pid="87" name="FSC#SKEDITIONSLOVLEX@103.510:AttrStrListDocPropUznesenieZodpovednyB1">
    <vt:lpwstr/>
  </property>
  <property fmtid="{D5CDD505-2E9C-101B-9397-08002B2CF9AE}" pid="88" name="FSC#SKEDITIONSLOVLEX@103.510:AttrStrListDocPropUznesenieTextB1">
    <vt:lpwstr/>
  </property>
  <property fmtid="{D5CDD505-2E9C-101B-9397-08002B2CF9AE}" pid="89" name="FSC#SKEDITIONSLOVLEX@103.510:AttrStrListDocPropUznesenieTerminB1">
    <vt:lpwstr/>
  </property>
  <property fmtid="{D5CDD505-2E9C-101B-9397-08002B2CF9AE}" pid="90" name="FSC#SKEDITIONSLOVLEX@103.510:AttrStrListDocPropUznesenieBODB2">
    <vt:lpwstr/>
  </property>
  <property fmtid="{D5CDD505-2E9C-101B-9397-08002B2CF9AE}" pid="91" name="FSC#SKEDITIONSLOVLEX@103.510:AttrStrListDocPropUznesenieZodpovednyB2">
    <vt:lpwstr/>
  </property>
  <property fmtid="{D5CDD505-2E9C-101B-9397-08002B2CF9AE}" pid="92" name="FSC#SKEDITIONSLOVLEX@103.510:AttrStrListDocPropUznesenieTextB2">
    <vt:lpwstr/>
  </property>
  <property fmtid="{D5CDD505-2E9C-101B-9397-08002B2CF9AE}" pid="93" name="FSC#SKEDITIONSLOVLEX@103.510:AttrStrListDocPropUznesenieTerminB2">
    <vt:lpwstr/>
  </property>
  <property fmtid="{D5CDD505-2E9C-101B-9397-08002B2CF9AE}" pid="94" name="FSC#SKEDITIONSLOVLEX@103.510:AttrStrListDocPropUznesenieBODB3">
    <vt:lpwstr/>
  </property>
  <property fmtid="{D5CDD505-2E9C-101B-9397-08002B2CF9AE}" pid="95" name="FSC#SKEDITIONSLOVLEX@103.510:AttrStrListDocPropUznesenieZodpovednyB3">
    <vt:lpwstr/>
  </property>
  <property fmtid="{D5CDD505-2E9C-101B-9397-08002B2CF9AE}" pid="96" name="FSC#SKEDITIONSLOVLEX@103.510:AttrStrListDocPropUznesenieTextB3">
    <vt:lpwstr/>
  </property>
  <property fmtid="{D5CDD505-2E9C-101B-9397-08002B2CF9AE}" pid="97" name="FSC#SKEDITIONSLOVLEX@103.510:AttrStrListDocPropUznesenieTerminB3">
    <vt:lpwstr/>
  </property>
  <property fmtid="{D5CDD505-2E9C-101B-9397-08002B2CF9AE}" pid="98" name="FSC#SKEDITIONSLOVLEX@103.510:AttrStrListDocPropUznesenieBODB4">
    <vt:lpwstr/>
  </property>
  <property fmtid="{D5CDD505-2E9C-101B-9397-08002B2CF9AE}" pid="99" name="FSC#SKEDITIONSLOVLEX@103.510:AttrStrListDocPropUznesenieZodpovednyB4">
    <vt:lpwstr/>
  </property>
  <property fmtid="{D5CDD505-2E9C-101B-9397-08002B2CF9AE}" pid="100" name="FSC#SKEDITIONSLOVLEX@103.510:AttrStrListDocPropUznesenieTextB4">
    <vt:lpwstr/>
  </property>
  <property fmtid="{D5CDD505-2E9C-101B-9397-08002B2CF9AE}" pid="101" name="FSC#SKEDITIONSLOVLEX@103.510:AttrStrListDocPropUznesenieTerminB4">
    <vt:lpwstr/>
  </property>
  <property fmtid="{D5CDD505-2E9C-101B-9397-08002B2CF9AE}" pid="102" name="FSC#SKEDITIONSLOVLEX@103.510:AttrStrListDocPropUznesenieCastC">
    <vt:lpwstr/>
  </property>
  <property fmtid="{D5CDD505-2E9C-101B-9397-08002B2CF9AE}" pid="103" name="FSC#SKEDITIONSLOVLEX@103.510:AttrStrListDocPropUznesenieBODC1">
    <vt:lpwstr/>
  </property>
  <property fmtid="{D5CDD505-2E9C-101B-9397-08002B2CF9AE}" pid="104" name="FSC#SKEDITIONSLOVLEX@103.510:AttrStrListDocPropUznesenieZodpovednyC1">
    <vt:lpwstr/>
  </property>
  <property fmtid="{D5CDD505-2E9C-101B-9397-08002B2CF9AE}" pid="105" name="FSC#SKEDITIONSLOVLEX@103.510:AttrStrListDocPropUznesenieTextC1">
    <vt:lpwstr/>
  </property>
  <property fmtid="{D5CDD505-2E9C-101B-9397-08002B2CF9AE}" pid="106" name="FSC#SKEDITIONSLOVLEX@103.510:AttrStrListDocPropUznesenieTerminC1">
    <vt:lpwstr/>
  </property>
  <property fmtid="{D5CDD505-2E9C-101B-9397-08002B2CF9AE}" pid="107" name="FSC#SKEDITIONSLOVLEX@103.510:AttrStrListDocPropUznesenieBODC2">
    <vt:lpwstr/>
  </property>
  <property fmtid="{D5CDD505-2E9C-101B-9397-08002B2CF9AE}" pid="108" name="FSC#SKEDITIONSLOVLEX@103.510:AttrStrListDocPropUznesenieZodpovednyC2">
    <vt:lpwstr/>
  </property>
  <property fmtid="{D5CDD505-2E9C-101B-9397-08002B2CF9AE}" pid="109" name="FSC#SKEDITIONSLOVLEX@103.510:AttrStrListDocPropUznesenieTextC2">
    <vt:lpwstr/>
  </property>
  <property fmtid="{D5CDD505-2E9C-101B-9397-08002B2CF9AE}" pid="110" name="FSC#SKEDITIONSLOVLEX@103.510:AttrStrListDocPropUznesenieTerminC2">
    <vt:lpwstr/>
  </property>
  <property fmtid="{D5CDD505-2E9C-101B-9397-08002B2CF9AE}" pid="111" name="FSC#SKEDITIONSLOVLEX@103.510:AttrStrListDocPropUznesenieBODC3">
    <vt:lpwstr/>
  </property>
  <property fmtid="{D5CDD505-2E9C-101B-9397-08002B2CF9AE}" pid="112" name="FSC#SKEDITIONSLOVLEX@103.510:AttrStrListDocPropUznesenieZodpovednyC3">
    <vt:lpwstr/>
  </property>
  <property fmtid="{D5CDD505-2E9C-101B-9397-08002B2CF9AE}" pid="113" name="FSC#SKEDITIONSLOVLEX@103.510:AttrStrListDocPropUznesenieTextC3">
    <vt:lpwstr/>
  </property>
  <property fmtid="{D5CDD505-2E9C-101B-9397-08002B2CF9AE}" pid="114" name="FSC#SKEDITIONSLOVLEX@103.510:AttrStrListDocPropUznesenieTerminC3">
    <vt:lpwstr/>
  </property>
  <property fmtid="{D5CDD505-2E9C-101B-9397-08002B2CF9AE}" pid="115" name="FSC#SKEDITIONSLOVLEX@103.510:AttrStrListDocPropUznesenieBODC4">
    <vt:lpwstr/>
  </property>
  <property fmtid="{D5CDD505-2E9C-101B-9397-08002B2CF9AE}" pid="116" name="FSC#SKEDITIONSLOVLEX@103.510:AttrStrListDocPropUznesenieZodpovednyC4">
    <vt:lpwstr/>
  </property>
  <property fmtid="{D5CDD505-2E9C-101B-9397-08002B2CF9AE}" pid="117" name="FSC#SKEDITIONSLOVLEX@103.510:AttrStrListDocPropUznesenieTextC4">
    <vt:lpwstr/>
  </property>
  <property fmtid="{D5CDD505-2E9C-101B-9397-08002B2CF9AE}" pid="118" name="FSC#SKEDITIONSLOVLEX@103.510:AttrStrListDocPropUznesenieTerminC4">
    <vt:lpwstr/>
  </property>
  <property fmtid="{D5CDD505-2E9C-101B-9397-08002B2CF9AE}" pid="119" name="FSC#SKEDITIONSLOVLEX@103.510:AttrStrListDocPropUznesenieCastD">
    <vt:lpwstr/>
  </property>
  <property fmtid="{D5CDD505-2E9C-101B-9397-08002B2CF9AE}" pid="120" name="FSC#SKEDITIONSLOVLEX@103.510:AttrStrListDocPropUznesenieBODD1">
    <vt:lpwstr/>
  </property>
  <property fmtid="{D5CDD505-2E9C-101B-9397-08002B2CF9AE}" pid="121" name="FSC#SKEDITIONSLOVLEX@103.510:AttrStrListDocPropUznesenieZodpovednyD1">
    <vt:lpwstr/>
  </property>
  <property fmtid="{D5CDD505-2E9C-101B-9397-08002B2CF9AE}" pid="122" name="FSC#SKEDITIONSLOVLEX@103.510:AttrStrListDocPropUznesenieTextD1">
    <vt:lpwstr/>
  </property>
  <property fmtid="{D5CDD505-2E9C-101B-9397-08002B2CF9AE}" pid="123" name="FSC#SKEDITIONSLOVLEX@103.510:AttrStrListDocPropUznesenieTerminD1">
    <vt:lpwstr/>
  </property>
  <property fmtid="{D5CDD505-2E9C-101B-9397-08002B2CF9AE}" pid="124" name="FSC#SKEDITIONSLOVLEX@103.510:AttrStrListDocPropUznesenieBODD2">
    <vt:lpwstr/>
  </property>
  <property fmtid="{D5CDD505-2E9C-101B-9397-08002B2CF9AE}" pid="125" name="FSC#SKEDITIONSLOVLEX@103.510:AttrStrListDocPropUznesenieZodpovednyD2">
    <vt:lpwstr/>
  </property>
  <property fmtid="{D5CDD505-2E9C-101B-9397-08002B2CF9AE}" pid="126" name="FSC#SKEDITIONSLOVLEX@103.510:AttrStrListDocPropUznesenieTextD2">
    <vt:lpwstr/>
  </property>
  <property fmtid="{D5CDD505-2E9C-101B-9397-08002B2CF9AE}" pid="127" name="FSC#SKEDITIONSLOVLEX@103.510:AttrStrListDocPropUznesenieTerminD2">
    <vt:lpwstr/>
  </property>
  <property fmtid="{D5CDD505-2E9C-101B-9397-08002B2CF9AE}" pid="128" name="FSC#SKEDITIONSLOVLEX@103.510:AttrStrListDocPropUznesenieBODD3">
    <vt:lpwstr/>
  </property>
  <property fmtid="{D5CDD505-2E9C-101B-9397-08002B2CF9AE}" pid="129" name="FSC#SKEDITIONSLOVLEX@103.510:AttrStrListDocPropUznesenieZodpovednyD3">
    <vt:lpwstr/>
  </property>
  <property fmtid="{D5CDD505-2E9C-101B-9397-08002B2CF9AE}" pid="130" name="FSC#SKEDITIONSLOVLEX@103.510:AttrStrListDocPropUznesenieTextD3">
    <vt:lpwstr/>
  </property>
  <property fmtid="{D5CDD505-2E9C-101B-9397-08002B2CF9AE}" pid="131" name="FSC#SKEDITIONSLOVLEX@103.510:AttrStrListDocPropUznesenieTerminD3">
    <vt:lpwstr/>
  </property>
  <property fmtid="{D5CDD505-2E9C-101B-9397-08002B2CF9AE}" pid="132" name="FSC#SKEDITIONSLOVLEX@103.510:AttrStrListDocPropUznesenieBODD4">
    <vt:lpwstr/>
  </property>
  <property fmtid="{D5CDD505-2E9C-101B-9397-08002B2CF9AE}" pid="133" name="FSC#SKEDITIONSLOVLEX@103.510:AttrStrListDocPropUznesenieZodpovednyD4">
    <vt:lpwstr/>
  </property>
  <property fmtid="{D5CDD505-2E9C-101B-9397-08002B2CF9AE}" pid="134" name="FSC#SKEDITIONSLOVLEX@103.510:AttrStrListDocPropUznesenieTextD4">
    <vt:lpwstr/>
  </property>
  <property fmtid="{D5CDD505-2E9C-101B-9397-08002B2CF9AE}" pid="135" name="FSC#SKEDITIONSLOVLEX@103.510:AttrStrListDocPropUznesenieTerminD4">
    <vt:lpwstr/>
  </property>
  <property fmtid="{D5CDD505-2E9C-101B-9397-08002B2CF9AE}" pid="136" name="FSC#SKEDITIONSLOVLEX@103.510:AttrStrListDocPropUznesenieVykonaju">
    <vt:lpwstr>minister hospodárstva_x000d_
členovia vlády_x000d_
predsedovia ostatných ústredných orgánov štátnej správy</vt:lpwstr>
  </property>
  <property fmtid="{D5CDD505-2E9C-101B-9397-08002B2CF9AE}" pid="137" name="FSC#SKEDITIONSLOVLEX@103.510:AttrStrListDocPropUznesenieNaVedomie">
    <vt:lpwstr/>
  </property>
  <property fmtid="{D5CDD505-2E9C-101B-9397-08002B2CF9AE}" pid="138" name="FSC#SKEDITIONSLOVLEX@103.510:funkciaPred">
    <vt:lpwstr/>
  </property>
  <property fmtid="{D5CDD505-2E9C-101B-9397-08002B2CF9AE}" pid="139" name="FSC#SKEDITIONSLOVLEX@103.510:funkciaPredAkuzativ">
    <vt:lpwstr/>
  </property>
  <property fmtid="{D5CDD505-2E9C-101B-9397-08002B2CF9AE}" pid="140" name="FSC#SKEDITIONSLOVLEX@103.510:funkciaPredDativ">
    <vt:lpwstr/>
  </property>
  <property fmtid="{D5CDD505-2E9C-101B-9397-08002B2CF9AE}" pid="141" name="FSC#SKEDITIONSLOVLEX@103.510:funkciaZodpPred">
    <vt:lpwstr/>
  </property>
  <property fmtid="{D5CDD505-2E9C-101B-9397-08002B2CF9AE}" pid="142" name="FSC#SKEDITIONSLOVLEX@103.510:funkciaZodpPredAkuzativ">
    <vt:lpwstr/>
  </property>
  <property fmtid="{D5CDD505-2E9C-101B-9397-08002B2CF9AE}" pid="143" name="FSC#SKEDITIONSLOVLEX@103.510:funkciaZodpPredDativ">
    <vt:lpwstr/>
  </property>
  <property fmtid="{D5CDD505-2E9C-101B-9397-08002B2CF9AE}" pid="144" name="FSC#SKEDITIONSLOVLEX@103.510:funkciaDalsiPred">
    <vt:lpwstr/>
  </property>
  <property fmtid="{D5CDD505-2E9C-101B-9397-08002B2CF9AE}" pid="145" name="FSC#SKEDITIONSLOVLEX@103.510:funkciaDalsiPredAkuzativ">
    <vt:lpwstr/>
  </property>
  <property fmtid="{D5CDD505-2E9C-101B-9397-08002B2CF9AE}" pid="146" name="FSC#SKEDITIONSLOVLEX@103.510:funkciaDalsiPredDativ">
    <vt:lpwstr/>
  </property>
  <property fmtid="{D5CDD505-2E9C-101B-9397-08002B2CF9AE}" pid="147" name="FSC#SKEDITIONSLOVLEX@103.510:predkladateliaObalSD">
    <vt:lpwstr>Ing. Karel Hirman</vt:lpwstr>
  </property>
  <property fmtid="{D5CDD505-2E9C-101B-9397-08002B2CF9AE}" pid="148" name="FSC#SKEDITIONSLOVLEX@103.510:AttrStrListDocPropTextVseobPrilohy">
    <vt:lpwstr/>
  </property>
  <property fmtid="{D5CDD505-2E9C-101B-9397-08002B2CF9AE}" pid="149" name="FSC#SKEDITIONSLOVLEX@103.510:AttrStrListDocPropTextPredklSpravy">
    <vt:lpwstr>&lt;p style="text-align: justify;"&gt;Návrh zmien a doplnení Jednotnej metodiky na posudzovanie vybraných vplyvov predkladá na rokovanie vlády Slovenskej republiky Ministerstvo hospodárstva Slovenskej republiky (ďalej len „MH SR“) v nadväznosti na Komponent č. </vt:lpwstr>
  </property>
  <property fmtid="{D5CDD505-2E9C-101B-9397-08002B2CF9AE}" pid="150" name="FSC#SKEDITIONSLOVLEX@103.510:vytvorenedna">
    <vt:lpwstr>10. 11. 2022</vt:lpwstr>
  </property>
  <property fmtid="{D5CDD505-2E9C-101B-9397-08002B2CF9AE}" pid="151" name="FSC#COOSYSTEM@1.1:Container">
    <vt:lpwstr>COO.2145.1000.3.5328105</vt:lpwstr>
  </property>
  <property fmtid="{D5CDD505-2E9C-101B-9397-08002B2CF9AE}" pid="152" name="FSC#FSCFOLIO@1.1001:docpropproject">
    <vt:lpwstr/>
  </property>
  <property fmtid="{D5CDD505-2E9C-101B-9397-08002B2CF9AE}" pid="153" name="ContentTypeId">
    <vt:lpwstr>0x0101006C0C8C3C1E3DCC44BECE3792677AD011</vt:lpwstr>
  </property>
  <property fmtid="{D5CDD505-2E9C-101B-9397-08002B2CF9AE}" pid="154" name="_dlc_DocIdItemGuid">
    <vt:lpwstr>def87fb2-33c2-401f-a551-81629078acfc</vt:lpwstr>
  </property>
</Properties>
</file>